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813"/>
        <w:gridCol w:w="6858"/>
      </w:tblGrid>
      <w:tr w:rsidR="00931CB5" w:rsidRPr="003A3C1D" w:rsidTr="00A0456C">
        <w:tc>
          <w:tcPr>
            <w:tcW w:w="1617" w:type="dxa"/>
            <w:shd w:val="clear" w:color="auto" w:fill="D9D9D9"/>
          </w:tcPr>
          <w:p w:rsidR="00931CB5" w:rsidRPr="003A3C1D" w:rsidRDefault="00931CB5" w:rsidP="00A0456C">
            <w:pPr>
              <w:rPr>
                <w:b/>
                <w:color w:val="000000"/>
                <w:sz w:val="28"/>
                <w:szCs w:val="28"/>
              </w:rPr>
            </w:pPr>
            <w:r w:rsidRPr="003A3C1D">
              <w:rPr>
                <w:b/>
                <w:color w:val="000000"/>
                <w:sz w:val="28"/>
                <w:szCs w:val="28"/>
              </w:rPr>
              <w:t>RAZDJEL:</w:t>
            </w:r>
          </w:p>
        </w:tc>
        <w:tc>
          <w:tcPr>
            <w:tcW w:w="813" w:type="dxa"/>
          </w:tcPr>
          <w:p w:rsidR="00931CB5" w:rsidRPr="00C964D5" w:rsidRDefault="00931CB5" w:rsidP="00A0456C">
            <w:pPr>
              <w:rPr>
                <w:b/>
                <w:bCs/>
                <w:color w:val="000000"/>
                <w:sz w:val="28"/>
                <w:szCs w:val="28"/>
              </w:rPr>
            </w:pPr>
            <w:r>
              <w:rPr>
                <w:b/>
                <w:bCs/>
                <w:color w:val="000000"/>
                <w:sz w:val="28"/>
                <w:szCs w:val="28"/>
              </w:rPr>
              <w:t>103</w:t>
            </w:r>
          </w:p>
        </w:tc>
        <w:tc>
          <w:tcPr>
            <w:tcW w:w="6858" w:type="dxa"/>
          </w:tcPr>
          <w:p w:rsidR="00931CB5" w:rsidRDefault="00931CB5" w:rsidP="00A0456C">
            <w:pPr>
              <w:rPr>
                <w:b/>
                <w:bCs/>
                <w:color w:val="000000"/>
                <w:sz w:val="28"/>
                <w:szCs w:val="28"/>
              </w:rPr>
            </w:pPr>
            <w:r>
              <w:rPr>
                <w:b/>
                <w:bCs/>
                <w:color w:val="000000"/>
                <w:sz w:val="28"/>
                <w:szCs w:val="28"/>
              </w:rPr>
              <w:t>UO ZA DRUŠTVENE DJELATNOSTI</w:t>
            </w:r>
          </w:p>
          <w:p w:rsidR="00931CB5" w:rsidRPr="00C964D5" w:rsidRDefault="00931CB5" w:rsidP="00A0456C">
            <w:pPr>
              <w:rPr>
                <w:b/>
                <w:bCs/>
                <w:color w:val="000000"/>
                <w:sz w:val="28"/>
                <w:szCs w:val="28"/>
              </w:rPr>
            </w:pPr>
          </w:p>
        </w:tc>
      </w:tr>
    </w:tbl>
    <w:p w:rsidR="00931CB5" w:rsidRDefault="00931CB5" w:rsidP="00931CB5">
      <w:pPr>
        <w:rPr>
          <w:color w:val="FF0000"/>
        </w:rPr>
      </w:pPr>
    </w:p>
    <w:p w:rsidR="00931CB5" w:rsidRDefault="00931CB5" w:rsidP="00931CB5">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
        <w:gridCol w:w="567"/>
        <w:gridCol w:w="7053"/>
      </w:tblGrid>
      <w:tr w:rsidR="00931CB5" w:rsidRPr="003A3C1D" w:rsidTr="00C76B8A">
        <w:trPr>
          <w:trHeight w:val="581"/>
        </w:trPr>
        <w:tc>
          <w:tcPr>
            <w:tcW w:w="898" w:type="pct"/>
            <w:gridSpan w:val="2"/>
            <w:tcBorders>
              <w:bottom w:val="single" w:sz="4" w:space="0" w:color="auto"/>
            </w:tcBorders>
            <w:shd w:val="clear" w:color="auto" w:fill="D9D9D9"/>
          </w:tcPr>
          <w:p w:rsidR="00931CB5" w:rsidRPr="003A3C1D" w:rsidRDefault="00931CB5" w:rsidP="00A0456C">
            <w:pPr>
              <w:rPr>
                <w:b/>
                <w:bCs/>
                <w:color w:val="000000"/>
              </w:rPr>
            </w:pPr>
            <w:r w:rsidRPr="003A3C1D">
              <w:rPr>
                <w:b/>
                <w:bCs/>
                <w:color w:val="000000"/>
              </w:rPr>
              <w:t>Sažetak djelokruga rada:</w:t>
            </w:r>
          </w:p>
        </w:tc>
        <w:tc>
          <w:tcPr>
            <w:tcW w:w="4102" w:type="pct"/>
            <w:gridSpan w:val="2"/>
            <w:tcBorders>
              <w:bottom w:val="single" w:sz="4" w:space="0" w:color="auto"/>
            </w:tcBorders>
          </w:tcPr>
          <w:p w:rsidR="00931CB5" w:rsidRPr="00EF540C" w:rsidRDefault="00931CB5" w:rsidP="00A0456C">
            <w:r w:rsidRPr="00EF540C">
              <w:t xml:space="preserve">Najznačajniji poslovi i zadatci škole </w:t>
            </w:r>
            <w:r>
              <w:t xml:space="preserve">vezani su uz </w:t>
            </w:r>
            <w:r w:rsidRPr="00EF540C">
              <w:t xml:space="preserve"> djelatnost škole tj.  izvođenje osnovnoškolskog plana i programa glazbenog obrazovanja, izvođenje programa početničkog solfeggia</w:t>
            </w:r>
            <w:r>
              <w:t xml:space="preserve"> i glazbenog vrtića,</w:t>
            </w:r>
            <w:r w:rsidRPr="00EF540C">
              <w:t xml:space="preserve"> pripremni koncerti za glazbeno obrazovanje, organizacija koncerata, organizacija ostalih kulturnih događanja, organizacija stručnih seminara, umjetničkih radionica, natjecanja i sl., izdavačka djelatnost.  Osnovni cilj je osigurati sustavan način poučavanja učenika, poticati i unaprjeđivati njihov intelektualni, tjelesni, estetski, društveni, moralni i duhovni razvoj u skladu s njihovim sposobnostima i sklonostima,</w:t>
            </w:r>
          </w:p>
          <w:p w:rsidR="00931CB5" w:rsidRPr="003A3C1D" w:rsidRDefault="00931CB5" w:rsidP="00A0456C">
            <w:pPr>
              <w:rPr>
                <w:bCs/>
                <w:color w:val="000000"/>
              </w:rPr>
            </w:pPr>
            <w:r w:rsidRPr="00EF540C">
              <w:t>Razvijati u učenicima svijest o očuvanju materijalne i duhovne povijesno-kulturne baštine Republike Hrvatske i nacionalnog identiteta, odgajati i obrazovati učenike u skladu s općim kulturnim i civilizacijskim vrijednostima, ljudskim pravima i pravima djece, osposobiti ih za življenje u multikulturnom svijetu, za poštivanje različitosti i snošljivost, te za djelatno i odgovorno sudjelovanje u demokratskom razvoju društva, osigurati učenicima stjecanje temeljnih (općeobrazovnih) i stručnih kompetencija, osposobiti ih za život i rad u promjenjivom društveno-kulturnom kontekstu prema zahtjevima tržišnog gospodarstva, suvremenih informacijsko-komunikacijskih tehnologija i znanstvenih spoznaja te dostignuća, osposobiti učenike za cjeloživotno učenje.</w:t>
            </w:r>
          </w:p>
        </w:tc>
      </w:tr>
      <w:tr w:rsidR="00931CB5" w:rsidRPr="00931CB5" w:rsidTr="00C76B8A">
        <w:tc>
          <w:tcPr>
            <w:tcW w:w="593" w:type="pct"/>
            <w:shd w:val="clear" w:color="auto" w:fill="D9D9D9"/>
          </w:tcPr>
          <w:p w:rsidR="00931CB5" w:rsidRPr="00931CB5" w:rsidRDefault="00931CB5" w:rsidP="00931CB5">
            <w:pPr>
              <w:rPr>
                <w:b/>
                <w:i/>
                <w:color w:val="000000"/>
                <w:sz w:val="28"/>
                <w:szCs w:val="28"/>
              </w:rPr>
            </w:pPr>
            <w:r w:rsidRPr="00931CB5">
              <w:rPr>
                <w:b/>
                <w:i/>
                <w:color w:val="000000"/>
                <w:sz w:val="28"/>
                <w:szCs w:val="28"/>
              </w:rPr>
              <w:t>Glava:</w:t>
            </w:r>
          </w:p>
        </w:tc>
        <w:tc>
          <w:tcPr>
            <w:tcW w:w="610" w:type="pct"/>
            <w:gridSpan w:val="2"/>
          </w:tcPr>
          <w:p w:rsidR="00931CB5" w:rsidRPr="00931CB5" w:rsidRDefault="00931CB5" w:rsidP="00931CB5">
            <w:pPr>
              <w:rPr>
                <w:b/>
                <w:bCs/>
                <w:color w:val="000000"/>
                <w:sz w:val="26"/>
                <w:szCs w:val="26"/>
              </w:rPr>
            </w:pPr>
            <w:r w:rsidRPr="00931CB5">
              <w:rPr>
                <w:b/>
                <w:bCs/>
                <w:color w:val="000000"/>
                <w:sz w:val="26"/>
                <w:szCs w:val="26"/>
              </w:rPr>
              <w:t>03</w:t>
            </w:r>
          </w:p>
        </w:tc>
        <w:tc>
          <w:tcPr>
            <w:tcW w:w="3797" w:type="pct"/>
          </w:tcPr>
          <w:p w:rsidR="00931CB5" w:rsidRPr="00931CB5" w:rsidRDefault="00931CB5" w:rsidP="00931CB5">
            <w:pPr>
              <w:rPr>
                <w:b/>
                <w:bCs/>
                <w:color w:val="000000"/>
                <w:sz w:val="26"/>
                <w:szCs w:val="26"/>
              </w:rPr>
            </w:pPr>
            <w:r w:rsidRPr="00931CB5">
              <w:rPr>
                <w:b/>
                <w:bCs/>
                <w:color w:val="000000"/>
                <w:sz w:val="26"/>
                <w:szCs w:val="26"/>
              </w:rPr>
              <w:t>O</w:t>
            </w:r>
            <w:r w:rsidR="00C76B8A">
              <w:rPr>
                <w:b/>
                <w:bCs/>
                <w:color w:val="000000"/>
                <w:sz w:val="26"/>
                <w:szCs w:val="26"/>
              </w:rPr>
              <w:t>snovno školstvo</w:t>
            </w:r>
          </w:p>
        </w:tc>
      </w:tr>
      <w:tr w:rsidR="00931CB5" w:rsidRPr="00931CB5" w:rsidTr="00C76B8A">
        <w:tc>
          <w:tcPr>
            <w:tcW w:w="593" w:type="pct"/>
            <w:shd w:val="clear" w:color="auto" w:fill="D9D9D9"/>
          </w:tcPr>
          <w:p w:rsidR="00931CB5" w:rsidRPr="00931CB5" w:rsidRDefault="00931CB5" w:rsidP="00931CB5">
            <w:pPr>
              <w:rPr>
                <w:b/>
                <w:color w:val="000000"/>
              </w:rPr>
            </w:pPr>
            <w:r w:rsidRPr="00931CB5">
              <w:rPr>
                <w:b/>
                <w:color w:val="000000"/>
              </w:rPr>
              <w:t>PK:</w:t>
            </w:r>
          </w:p>
        </w:tc>
        <w:tc>
          <w:tcPr>
            <w:tcW w:w="610" w:type="pct"/>
            <w:gridSpan w:val="2"/>
          </w:tcPr>
          <w:p w:rsidR="00931CB5" w:rsidRPr="00931CB5" w:rsidRDefault="00931CB5" w:rsidP="00931CB5">
            <w:pPr>
              <w:rPr>
                <w:b/>
                <w:bCs/>
                <w:color w:val="000000"/>
              </w:rPr>
            </w:pPr>
            <w:r w:rsidRPr="00931CB5">
              <w:rPr>
                <w:b/>
                <w:bCs/>
                <w:color w:val="000000"/>
              </w:rPr>
              <w:t>48937</w:t>
            </w:r>
          </w:p>
        </w:tc>
        <w:tc>
          <w:tcPr>
            <w:tcW w:w="3797" w:type="pct"/>
          </w:tcPr>
          <w:p w:rsidR="00931CB5" w:rsidRPr="00931CB5" w:rsidRDefault="00931CB5" w:rsidP="00931CB5">
            <w:pPr>
              <w:rPr>
                <w:b/>
                <w:bCs/>
                <w:color w:val="000000"/>
              </w:rPr>
            </w:pPr>
            <w:r w:rsidRPr="00931CB5">
              <w:rPr>
                <w:b/>
                <w:bCs/>
                <w:color w:val="000000"/>
              </w:rPr>
              <w:t>Osnovna glazbena škola Lovro pl. Matačić Omiš</w:t>
            </w:r>
          </w:p>
        </w:tc>
      </w:tr>
      <w:tr w:rsidR="00931CB5" w:rsidRPr="00931CB5" w:rsidTr="00A0456C">
        <w:trPr>
          <w:trHeight w:val="581"/>
        </w:trPr>
        <w:tc>
          <w:tcPr>
            <w:tcW w:w="898" w:type="pct"/>
            <w:gridSpan w:val="2"/>
            <w:shd w:val="clear" w:color="auto" w:fill="D9D9D9"/>
          </w:tcPr>
          <w:p w:rsidR="00931CB5" w:rsidRPr="00931CB5" w:rsidRDefault="00931CB5" w:rsidP="00931CB5">
            <w:pPr>
              <w:rPr>
                <w:b/>
                <w:bCs/>
                <w:color w:val="000000"/>
              </w:rPr>
            </w:pPr>
            <w:r w:rsidRPr="00931CB5">
              <w:rPr>
                <w:b/>
                <w:bCs/>
                <w:color w:val="000000"/>
              </w:rPr>
              <w:t>Sažetak djelokruga rada:</w:t>
            </w:r>
          </w:p>
        </w:tc>
        <w:tc>
          <w:tcPr>
            <w:tcW w:w="4102" w:type="pct"/>
            <w:gridSpan w:val="2"/>
          </w:tcPr>
          <w:p w:rsidR="00931CB5" w:rsidRPr="00931CB5" w:rsidRDefault="00931CB5" w:rsidP="00931CB5">
            <w:pPr>
              <w:rPr>
                <w:bCs/>
                <w:color w:val="000000"/>
              </w:rPr>
            </w:pPr>
            <w:r w:rsidRPr="00931CB5">
              <w:rPr>
                <w:bCs/>
                <w:color w:val="000000"/>
              </w:rPr>
              <w:t>Osnovna glazbena škola Lovro pl. Matačić Omiš ima samo jednu glavu, odnosno glava jednako razdjel, opis najznačajnijih poslova i zadataka  su već navedeni na razini razdjela.</w:t>
            </w:r>
          </w:p>
        </w:tc>
      </w:tr>
    </w:tbl>
    <w:p w:rsidR="00931CB5" w:rsidRPr="00931CB5" w:rsidRDefault="00931CB5" w:rsidP="00931CB5">
      <w:pPr>
        <w:rPr>
          <w:b/>
          <w:bCs/>
          <w:color w:val="FF0000"/>
        </w:rPr>
      </w:pPr>
    </w:p>
    <w:p w:rsidR="00931CB5" w:rsidRPr="00931CB5" w:rsidRDefault="00931CB5" w:rsidP="00931CB5">
      <w:pPr>
        <w:rPr>
          <w:b/>
          <w:bCs/>
          <w:color w:val="FF0000"/>
        </w:rPr>
      </w:pPr>
    </w:p>
    <w:p w:rsidR="00931CB5" w:rsidRPr="00931CB5" w:rsidRDefault="00931CB5" w:rsidP="00931CB5">
      <w:pPr>
        <w:rPr>
          <w:b/>
          <w:bCs/>
          <w:color w:val="FF0000"/>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736"/>
        <w:gridCol w:w="572"/>
        <w:gridCol w:w="1157"/>
        <w:gridCol w:w="258"/>
        <w:gridCol w:w="1279"/>
        <w:gridCol w:w="32"/>
        <w:gridCol w:w="1357"/>
        <w:gridCol w:w="124"/>
        <w:gridCol w:w="1435"/>
        <w:gridCol w:w="840"/>
        <w:gridCol w:w="716"/>
      </w:tblGrid>
      <w:tr w:rsidR="00931CB5" w:rsidRPr="00931CB5" w:rsidTr="00A0456C">
        <w:trPr>
          <w:gridAfter w:val="1"/>
          <w:wAfter w:w="358" w:type="pct"/>
        </w:trPr>
        <w:tc>
          <w:tcPr>
            <w:tcW w:w="1117" w:type="pct"/>
            <w:gridSpan w:val="2"/>
            <w:shd w:val="clear" w:color="auto" w:fill="D9D9D9"/>
          </w:tcPr>
          <w:p w:rsidR="00931CB5" w:rsidRPr="00931CB5" w:rsidRDefault="00931CB5" w:rsidP="00931CB5">
            <w:pPr>
              <w:rPr>
                <w:b/>
                <w:bCs/>
                <w:color w:val="000000"/>
              </w:rPr>
            </w:pPr>
            <w:bookmarkStart w:id="0" w:name="_Hlk118095618"/>
            <w:r w:rsidRPr="00931CB5">
              <w:rPr>
                <w:b/>
                <w:bCs/>
                <w:color w:val="000000"/>
                <w:u w:val="single"/>
              </w:rPr>
              <w:t>PROGRAM:</w:t>
            </w:r>
          </w:p>
        </w:tc>
        <w:tc>
          <w:tcPr>
            <w:tcW w:w="993" w:type="pct"/>
            <w:gridSpan w:val="3"/>
            <w:shd w:val="clear" w:color="auto" w:fill="auto"/>
          </w:tcPr>
          <w:p w:rsidR="00931CB5" w:rsidRPr="00931CB5" w:rsidRDefault="00931CB5" w:rsidP="00931CB5">
            <w:pPr>
              <w:rPr>
                <w:b/>
                <w:bCs/>
                <w:color w:val="000000"/>
              </w:rPr>
            </w:pPr>
            <w:r w:rsidRPr="00931CB5">
              <w:rPr>
                <w:b/>
                <w:bCs/>
                <w:color w:val="000000"/>
              </w:rPr>
              <w:t>400</w:t>
            </w:r>
          </w:p>
        </w:tc>
        <w:tc>
          <w:tcPr>
            <w:tcW w:w="2532" w:type="pct"/>
            <w:gridSpan w:val="6"/>
            <w:shd w:val="clear" w:color="auto" w:fill="auto"/>
          </w:tcPr>
          <w:p w:rsidR="00931CB5" w:rsidRPr="00931CB5" w:rsidRDefault="00931CB5" w:rsidP="00931CB5">
            <w:pPr>
              <w:rPr>
                <w:b/>
                <w:bCs/>
                <w:color w:val="000000"/>
              </w:rPr>
            </w:pPr>
            <w:r w:rsidRPr="00931CB5">
              <w:rPr>
                <w:b/>
                <w:bCs/>
                <w:color w:val="000000"/>
              </w:rPr>
              <w:t>Osnovno školstvo</w:t>
            </w:r>
          </w:p>
        </w:tc>
      </w:tr>
      <w:tr w:rsidR="00931CB5" w:rsidRPr="00931CB5" w:rsidTr="00A0456C">
        <w:trPr>
          <w:gridAfter w:val="1"/>
          <w:wAfter w:w="358" w:type="pct"/>
        </w:trPr>
        <w:tc>
          <w:tcPr>
            <w:tcW w:w="1117" w:type="pct"/>
            <w:gridSpan w:val="2"/>
            <w:shd w:val="clear" w:color="auto" w:fill="D9D9D9"/>
          </w:tcPr>
          <w:p w:rsidR="00931CB5" w:rsidRPr="00931CB5" w:rsidRDefault="00931CB5" w:rsidP="00931CB5">
            <w:pPr>
              <w:rPr>
                <w:b/>
                <w:bCs/>
                <w:color w:val="000000"/>
              </w:rPr>
            </w:pPr>
            <w:r w:rsidRPr="00931CB5">
              <w:rPr>
                <w:b/>
                <w:bCs/>
                <w:color w:val="000000"/>
              </w:rPr>
              <w:t>Cilj:</w:t>
            </w:r>
          </w:p>
        </w:tc>
        <w:tc>
          <w:tcPr>
            <w:tcW w:w="3525" w:type="pct"/>
            <w:gridSpan w:val="9"/>
            <w:shd w:val="clear" w:color="auto" w:fill="auto"/>
          </w:tcPr>
          <w:p w:rsidR="00931CB5" w:rsidRPr="00931CB5" w:rsidRDefault="00931CB5" w:rsidP="00931CB5">
            <w:pPr>
              <w:rPr>
                <w:bCs/>
                <w:color w:val="000000"/>
              </w:rPr>
            </w:pPr>
            <w:r w:rsidRPr="00931CB5">
              <w:rPr>
                <w:bCs/>
                <w:color w:val="000000"/>
              </w:rPr>
              <w:t xml:space="preserve">Opći cilj Osnovne glazbene škole "Lovro pl. Matačić" Omiš je postići što kvalitetnije osnovno glazbeno obrazovanje, učiniti ga dostupnim što većem broju djece. Učenicima sa izraženim sklonostima i sposobnostima omogućiti stjecanje znanja i sposobnosti te ih pripremiti za daljnje glazbeno obrazovanje. </w:t>
            </w:r>
          </w:p>
          <w:p w:rsidR="00931CB5" w:rsidRPr="00931CB5" w:rsidRDefault="00931CB5" w:rsidP="00931CB5">
            <w:pPr>
              <w:rPr>
                <w:bCs/>
                <w:color w:val="000000"/>
              </w:rPr>
            </w:pPr>
            <w:r w:rsidRPr="00931CB5">
              <w:rPr>
                <w:bCs/>
                <w:color w:val="000000"/>
              </w:rPr>
              <w:t>U skladu s postavljenim ciljevima, na kraju školovanja učenici Glazbene škole će:</w:t>
            </w:r>
          </w:p>
          <w:p w:rsidR="00931CB5" w:rsidRPr="00931CB5" w:rsidRDefault="00931CB5" w:rsidP="00931CB5">
            <w:pPr>
              <w:rPr>
                <w:bCs/>
                <w:color w:val="000000"/>
              </w:rPr>
            </w:pPr>
            <w:r w:rsidRPr="00931CB5">
              <w:rPr>
                <w:bCs/>
                <w:color w:val="000000"/>
              </w:rPr>
              <w:t>•</w:t>
            </w:r>
            <w:r w:rsidRPr="00931CB5">
              <w:rPr>
                <w:bCs/>
                <w:color w:val="000000"/>
              </w:rPr>
              <w:tab/>
              <w:t>znati upravljati svojim vremenom,</w:t>
            </w:r>
          </w:p>
          <w:p w:rsidR="00931CB5" w:rsidRPr="00931CB5" w:rsidRDefault="00931CB5" w:rsidP="00931CB5">
            <w:pPr>
              <w:rPr>
                <w:bCs/>
                <w:color w:val="000000"/>
              </w:rPr>
            </w:pPr>
            <w:r w:rsidRPr="00931CB5">
              <w:rPr>
                <w:bCs/>
                <w:color w:val="000000"/>
              </w:rPr>
              <w:t>•</w:t>
            </w:r>
            <w:r w:rsidRPr="00931CB5">
              <w:rPr>
                <w:bCs/>
                <w:color w:val="000000"/>
              </w:rPr>
              <w:tab/>
              <w:t>imati znanje kako učiti i samostalnost u učenju,</w:t>
            </w:r>
          </w:p>
          <w:p w:rsidR="00931CB5" w:rsidRPr="00931CB5" w:rsidRDefault="00931CB5" w:rsidP="00931CB5">
            <w:pPr>
              <w:rPr>
                <w:bCs/>
                <w:color w:val="000000"/>
              </w:rPr>
            </w:pPr>
            <w:r w:rsidRPr="00931CB5">
              <w:rPr>
                <w:bCs/>
                <w:color w:val="000000"/>
              </w:rPr>
              <w:t>•</w:t>
            </w:r>
            <w:r w:rsidRPr="00931CB5">
              <w:rPr>
                <w:bCs/>
                <w:color w:val="000000"/>
              </w:rPr>
              <w:tab/>
              <w:t>poznavati ljudska prava i poštivati ih,</w:t>
            </w:r>
          </w:p>
          <w:p w:rsidR="00931CB5" w:rsidRPr="00931CB5" w:rsidRDefault="00931CB5" w:rsidP="00931CB5">
            <w:pPr>
              <w:rPr>
                <w:bCs/>
                <w:color w:val="000000"/>
              </w:rPr>
            </w:pPr>
            <w:r w:rsidRPr="00931CB5">
              <w:rPr>
                <w:bCs/>
                <w:color w:val="000000"/>
              </w:rPr>
              <w:t>•</w:t>
            </w:r>
            <w:r w:rsidRPr="00931CB5">
              <w:rPr>
                <w:bCs/>
                <w:color w:val="000000"/>
              </w:rPr>
              <w:tab/>
              <w:t>imati razvijene pozitivne stavove u odnosu na umjetnost i kulturu,</w:t>
            </w:r>
          </w:p>
          <w:p w:rsidR="00931CB5" w:rsidRPr="00931CB5" w:rsidRDefault="00931CB5" w:rsidP="00931CB5">
            <w:pPr>
              <w:rPr>
                <w:bCs/>
                <w:color w:val="000000"/>
              </w:rPr>
            </w:pPr>
            <w:r w:rsidRPr="00931CB5">
              <w:rPr>
                <w:bCs/>
                <w:color w:val="000000"/>
              </w:rPr>
              <w:t>•</w:t>
            </w:r>
            <w:r w:rsidRPr="00931CB5">
              <w:rPr>
                <w:bCs/>
                <w:color w:val="000000"/>
              </w:rPr>
              <w:tab/>
              <w:t>imati radne navike,</w:t>
            </w:r>
          </w:p>
          <w:p w:rsidR="00931CB5" w:rsidRPr="00931CB5" w:rsidRDefault="00931CB5" w:rsidP="00931CB5">
            <w:pPr>
              <w:rPr>
                <w:bCs/>
                <w:color w:val="000000"/>
              </w:rPr>
            </w:pPr>
            <w:r w:rsidRPr="00931CB5">
              <w:rPr>
                <w:bCs/>
                <w:color w:val="000000"/>
              </w:rPr>
              <w:t>•</w:t>
            </w:r>
            <w:r w:rsidRPr="00931CB5">
              <w:rPr>
                <w:bCs/>
                <w:color w:val="000000"/>
              </w:rPr>
              <w:tab/>
              <w:t>imati samopoštovanje, samopouzdanje i spoznaju o vlastitim potencijalima i mogućnostima profesionalnog razvoja.</w:t>
            </w:r>
          </w:p>
          <w:p w:rsidR="00931CB5" w:rsidRPr="00931CB5" w:rsidRDefault="00931CB5" w:rsidP="00931CB5">
            <w:pPr>
              <w:rPr>
                <w:bCs/>
                <w:color w:val="000000"/>
              </w:rPr>
            </w:pPr>
            <w:r w:rsidRPr="00931CB5">
              <w:rPr>
                <w:bCs/>
                <w:color w:val="000000"/>
              </w:rPr>
              <w:t>Nakon završenog programa učenici će:</w:t>
            </w:r>
          </w:p>
          <w:p w:rsidR="00931CB5" w:rsidRPr="00931CB5" w:rsidRDefault="00931CB5" w:rsidP="00931CB5">
            <w:pPr>
              <w:rPr>
                <w:bCs/>
                <w:color w:val="000000"/>
              </w:rPr>
            </w:pPr>
            <w:r w:rsidRPr="00931CB5">
              <w:rPr>
                <w:bCs/>
                <w:color w:val="000000"/>
              </w:rPr>
              <w:lastRenderedPageBreak/>
              <w:t>•</w:t>
            </w:r>
            <w:r w:rsidRPr="00931CB5">
              <w:rPr>
                <w:bCs/>
                <w:color w:val="000000"/>
              </w:rPr>
              <w:tab/>
              <w:t>moći razlikovati, objasniti i primijeniti znanja potrebna za nastavak školovanja na višem nivou,</w:t>
            </w:r>
          </w:p>
          <w:p w:rsidR="00931CB5" w:rsidRPr="00931CB5" w:rsidRDefault="00931CB5" w:rsidP="00931CB5">
            <w:pPr>
              <w:rPr>
                <w:bCs/>
                <w:color w:val="000000"/>
              </w:rPr>
            </w:pPr>
            <w:r w:rsidRPr="00931CB5">
              <w:rPr>
                <w:bCs/>
                <w:color w:val="000000"/>
              </w:rPr>
              <w:t>•</w:t>
            </w:r>
            <w:r w:rsidRPr="00931CB5">
              <w:rPr>
                <w:bCs/>
                <w:color w:val="000000"/>
              </w:rPr>
              <w:tab/>
              <w:t>imati razvijenu sposobnost muziciranja odabranog instrumenta,</w:t>
            </w:r>
          </w:p>
          <w:p w:rsidR="00931CB5" w:rsidRPr="00931CB5" w:rsidRDefault="00931CB5" w:rsidP="00931CB5">
            <w:pPr>
              <w:rPr>
                <w:bCs/>
                <w:color w:val="000000"/>
              </w:rPr>
            </w:pPr>
            <w:r w:rsidRPr="00931CB5">
              <w:rPr>
                <w:bCs/>
                <w:color w:val="000000"/>
              </w:rPr>
              <w:t>•</w:t>
            </w:r>
            <w:r w:rsidRPr="00931CB5">
              <w:rPr>
                <w:bCs/>
                <w:color w:val="000000"/>
              </w:rPr>
              <w:tab/>
              <w:t>razviti sposobnost slušanja i prepoznavanja stilskih razdoblja,</w:t>
            </w:r>
          </w:p>
          <w:p w:rsidR="00931CB5" w:rsidRPr="00931CB5" w:rsidRDefault="00931CB5" w:rsidP="00931CB5">
            <w:pPr>
              <w:rPr>
                <w:bCs/>
                <w:color w:val="000000"/>
              </w:rPr>
            </w:pPr>
            <w:r w:rsidRPr="00931CB5">
              <w:rPr>
                <w:bCs/>
                <w:color w:val="000000"/>
              </w:rPr>
              <w:t>•</w:t>
            </w:r>
            <w:r w:rsidRPr="00931CB5">
              <w:rPr>
                <w:bCs/>
                <w:color w:val="000000"/>
              </w:rPr>
              <w:tab/>
              <w:t>imati sposobnost slušanja, čitanja, razumijevanja i izražavanja na materinjem i stranim jezicima te izgrađen kritički odnos prema tipovima tekstova i stilskih formacija,</w:t>
            </w:r>
          </w:p>
          <w:p w:rsidR="00931CB5" w:rsidRPr="00931CB5" w:rsidRDefault="00931CB5" w:rsidP="00931CB5">
            <w:pPr>
              <w:rPr>
                <w:bCs/>
                <w:color w:val="000000"/>
              </w:rPr>
            </w:pPr>
            <w:r w:rsidRPr="00931CB5">
              <w:rPr>
                <w:bCs/>
                <w:color w:val="000000"/>
              </w:rPr>
              <w:t>•</w:t>
            </w:r>
            <w:r w:rsidRPr="00931CB5">
              <w:rPr>
                <w:bCs/>
                <w:color w:val="000000"/>
              </w:rPr>
              <w:tab/>
              <w:t xml:space="preserve"> imati razumijevanje prošlih i sadašnjih društvenih i kulturnih događaja i kretanja,</w:t>
            </w:r>
          </w:p>
          <w:p w:rsidR="00931CB5" w:rsidRPr="00931CB5" w:rsidRDefault="00931CB5" w:rsidP="00931CB5">
            <w:pPr>
              <w:rPr>
                <w:bCs/>
                <w:color w:val="000000"/>
              </w:rPr>
            </w:pPr>
            <w:r w:rsidRPr="00931CB5">
              <w:rPr>
                <w:bCs/>
                <w:color w:val="000000"/>
              </w:rPr>
              <w:t>•</w:t>
            </w:r>
            <w:r w:rsidRPr="00931CB5">
              <w:rPr>
                <w:bCs/>
                <w:color w:val="000000"/>
              </w:rPr>
              <w:tab/>
              <w:t>postati odgovorni građani,</w:t>
            </w:r>
          </w:p>
          <w:p w:rsidR="00931CB5" w:rsidRPr="00931CB5" w:rsidRDefault="00931CB5" w:rsidP="00931CB5">
            <w:pPr>
              <w:rPr>
                <w:bCs/>
                <w:color w:val="000000"/>
              </w:rPr>
            </w:pPr>
            <w:r w:rsidRPr="00931CB5">
              <w:rPr>
                <w:bCs/>
                <w:color w:val="000000"/>
              </w:rPr>
              <w:t>•</w:t>
            </w:r>
            <w:r w:rsidRPr="00931CB5">
              <w:rPr>
                <w:bCs/>
                <w:color w:val="000000"/>
              </w:rPr>
              <w:tab/>
              <w:t>moći biti pokretači kulturnih i civilizacijskih inicijativa</w:t>
            </w:r>
          </w:p>
          <w:p w:rsidR="00931CB5" w:rsidRPr="00931CB5" w:rsidRDefault="00931CB5" w:rsidP="00931CB5">
            <w:pPr>
              <w:jc w:val="both"/>
              <w:rPr>
                <w:bCs/>
                <w:color w:val="000000"/>
              </w:rPr>
            </w:pPr>
          </w:p>
        </w:tc>
      </w:tr>
      <w:bookmarkEnd w:id="0"/>
      <w:tr w:rsidR="00931CB5" w:rsidRPr="00931CB5" w:rsidTr="00A0456C">
        <w:trPr>
          <w:gridAfter w:val="3"/>
          <w:wAfter w:w="1498" w:type="pct"/>
          <w:trHeight w:val="517"/>
        </w:trPr>
        <w:tc>
          <w:tcPr>
            <w:tcW w:w="1400" w:type="pct"/>
            <w:gridSpan w:val="3"/>
            <w:shd w:val="clear" w:color="auto" w:fill="F2F2F2"/>
          </w:tcPr>
          <w:p w:rsidR="00931CB5" w:rsidRPr="00931CB5" w:rsidRDefault="00931CB5" w:rsidP="00931CB5">
            <w:pPr>
              <w:rPr>
                <w:b/>
                <w:bCs/>
                <w:color w:val="000000"/>
                <w:sz w:val="20"/>
                <w:szCs w:val="20"/>
              </w:rPr>
            </w:pPr>
            <w:r w:rsidRPr="00931CB5">
              <w:rPr>
                <w:b/>
                <w:bCs/>
                <w:color w:val="000000"/>
                <w:sz w:val="20"/>
                <w:szCs w:val="20"/>
              </w:rPr>
              <w:lastRenderedPageBreak/>
              <w:t>Rebalans 2023.</w:t>
            </w:r>
          </w:p>
        </w:tc>
        <w:tc>
          <w:tcPr>
            <w:tcW w:w="1346" w:type="pct"/>
            <w:gridSpan w:val="3"/>
            <w:shd w:val="clear" w:color="auto" w:fill="F2F2F2"/>
          </w:tcPr>
          <w:p w:rsidR="00931CB5" w:rsidRPr="00931CB5" w:rsidRDefault="00931CB5" w:rsidP="00931CB5">
            <w:pPr>
              <w:jc w:val="center"/>
              <w:rPr>
                <w:b/>
                <w:bCs/>
                <w:color w:val="000000"/>
                <w:sz w:val="20"/>
                <w:szCs w:val="20"/>
              </w:rPr>
            </w:pPr>
            <w:r w:rsidRPr="00931CB5">
              <w:rPr>
                <w:b/>
                <w:bCs/>
                <w:color w:val="000000"/>
                <w:sz w:val="20"/>
                <w:szCs w:val="20"/>
              </w:rPr>
              <w:t xml:space="preserve">Realizirano </w:t>
            </w:r>
            <w:r w:rsidRPr="00931CB5">
              <w:rPr>
                <w:b/>
                <w:bCs/>
                <w:color w:val="000000"/>
                <w:sz w:val="20"/>
                <w:szCs w:val="20"/>
              </w:rPr>
              <w:br/>
              <w:t>siječanj – prosinac 2023.</w:t>
            </w:r>
          </w:p>
        </w:tc>
        <w:tc>
          <w:tcPr>
            <w:tcW w:w="756" w:type="pct"/>
            <w:gridSpan w:val="3"/>
            <w:shd w:val="clear" w:color="auto" w:fill="F2F2F2"/>
          </w:tcPr>
          <w:p w:rsidR="00931CB5" w:rsidRPr="00931CB5" w:rsidRDefault="00931CB5" w:rsidP="00931CB5">
            <w:pPr>
              <w:jc w:val="center"/>
              <w:rPr>
                <w:b/>
                <w:bCs/>
                <w:color w:val="000000"/>
                <w:sz w:val="20"/>
                <w:szCs w:val="20"/>
              </w:rPr>
            </w:pPr>
            <w:r w:rsidRPr="00931CB5">
              <w:rPr>
                <w:b/>
                <w:bCs/>
                <w:color w:val="000000"/>
                <w:sz w:val="20"/>
                <w:szCs w:val="20"/>
              </w:rPr>
              <w:t>Indeks</w:t>
            </w:r>
          </w:p>
        </w:tc>
      </w:tr>
      <w:tr w:rsidR="00931CB5" w:rsidRPr="00931CB5" w:rsidTr="00A0456C">
        <w:trPr>
          <w:gridAfter w:val="3"/>
          <w:wAfter w:w="1498" w:type="pct"/>
          <w:trHeight w:val="517"/>
        </w:trPr>
        <w:tc>
          <w:tcPr>
            <w:tcW w:w="1400" w:type="pct"/>
            <w:gridSpan w:val="3"/>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jc w:val="right"/>
              <w:rPr>
                <w:bCs/>
                <w:color w:val="000000"/>
                <w:sz w:val="22"/>
                <w:szCs w:val="22"/>
              </w:rPr>
            </w:pPr>
            <w:r>
              <w:rPr>
                <w:bCs/>
                <w:color w:val="000000"/>
                <w:sz w:val="22"/>
                <w:szCs w:val="22"/>
              </w:rPr>
              <w:t xml:space="preserve">776775 </w:t>
            </w:r>
            <w:r w:rsidRPr="00931CB5">
              <w:rPr>
                <w:bCs/>
                <w:color w:val="000000"/>
                <w:sz w:val="22"/>
                <w:szCs w:val="22"/>
              </w:rPr>
              <w:t>€</w:t>
            </w:r>
          </w:p>
        </w:tc>
        <w:tc>
          <w:tcPr>
            <w:tcW w:w="1346" w:type="pct"/>
            <w:gridSpan w:val="3"/>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jc w:val="right"/>
              <w:rPr>
                <w:bCs/>
                <w:color w:val="000000"/>
                <w:sz w:val="22"/>
                <w:szCs w:val="22"/>
              </w:rPr>
            </w:pPr>
            <w:r>
              <w:rPr>
                <w:bCs/>
                <w:color w:val="000000"/>
                <w:sz w:val="22"/>
                <w:szCs w:val="22"/>
              </w:rPr>
              <w:t>762205</w:t>
            </w:r>
            <w:r w:rsidRPr="00931CB5">
              <w:rPr>
                <w:bCs/>
                <w:color w:val="000000"/>
                <w:sz w:val="22"/>
                <w:szCs w:val="22"/>
              </w:rPr>
              <w:t xml:space="preserve"> €</w:t>
            </w:r>
          </w:p>
        </w:tc>
        <w:tc>
          <w:tcPr>
            <w:tcW w:w="756" w:type="pct"/>
            <w:gridSpan w:val="3"/>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jc w:val="right"/>
              <w:rPr>
                <w:bCs/>
                <w:color w:val="000000"/>
                <w:sz w:val="20"/>
                <w:szCs w:val="20"/>
              </w:rPr>
            </w:pPr>
            <w:r w:rsidRPr="00931CB5">
              <w:rPr>
                <w:bCs/>
                <w:color w:val="000000"/>
                <w:sz w:val="20"/>
                <w:szCs w:val="20"/>
              </w:rPr>
              <w:t>98%</w:t>
            </w:r>
          </w:p>
        </w:tc>
      </w:tr>
      <w:tr w:rsidR="00931CB5" w:rsidRPr="00931CB5" w:rsidTr="00A0456C">
        <w:tblPrEx>
          <w:tblLook w:val="04A0" w:firstRow="1" w:lastRow="0" w:firstColumn="1" w:lastColumn="0" w:noHBand="0" w:noVBand="1"/>
        </w:tblPrEx>
        <w:trPr>
          <w:trHeight w:val="503"/>
        </w:trPr>
        <w:tc>
          <w:tcPr>
            <w:tcW w:w="749" w:type="pct"/>
            <w:shd w:val="clear" w:color="auto" w:fill="D9D9D9"/>
          </w:tcPr>
          <w:p w:rsidR="00931CB5" w:rsidRPr="00931CB5" w:rsidRDefault="00931CB5" w:rsidP="00931CB5">
            <w:pPr>
              <w:jc w:val="center"/>
              <w:rPr>
                <w:b/>
                <w:sz w:val="20"/>
                <w:szCs w:val="20"/>
              </w:rPr>
            </w:pPr>
            <w:r w:rsidRPr="00931CB5">
              <w:rPr>
                <w:b/>
                <w:sz w:val="20"/>
                <w:szCs w:val="20"/>
              </w:rPr>
              <w:t>Pokazatelj učinka</w:t>
            </w:r>
          </w:p>
        </w:tc>
        <w:tc>
          <w:tcPr>
            <w:tcW w:w="654" w:type="pct"/>
            <w:gridSpan w:val="2"/>
            <w:shd w:val="clear" w:color="auto" w:fill="D9D9D9"/>
          </w:tcPr>
          <w:p w:rsidR="00931CB5" w:rsidRPr="00931CB5" w:rsidRDefault="00931CB5" w:rsidP="00931CB5">
            <w:pPr>
              <w:jc w:val="center"/>
              <w:rPr>
                <w:b/>
                <w:sz w:val="20"/>
                <w:szCs w:val="20"/>
              </w:rPr>
            </w:pPr>
            <w:r w:rsidRPr="00931CB5">
              <w:rPr>
                <w:b/>
                <w:sz w:val="20"/>
                <w:szCs w:val="20"/>
              </w:rPr>
              <w:t>Definicija</w:t>
            </w:r>
          </w:p>
        </w:tc>
        <w:tc>
          <w:tcPr>
            <w:tcW w:w="578" w:type="pct"/>
            <w:shd w:val="clear" w:color="auto" w:fill="D9D9D9"/>
          </w:tcPr>
          <w:p w:rsidR="00931CB5" w:rsidRPr="00931CB5" w:rsidRDefault="00931CB5" w:rsidP="00931CB5">
            <w:pPr>
              <w:jc w:val="center"/>
              <w:rPr>
                <w:b/>
                <w:sz w:val="20"/>
                <w:szCs w:val="20"/>
              </w:rPr>
            </w:pPr>
            <w:r w:rsidRPr="00931CB5">
              <w:rPr>
                <w:b/>
                <w:sz w:val="20"/>
                <w:szCs w:val="20"/>
              </w:rPr>
              <w:t>Jedinica</w:t>
            </w:r>
          </w:p>
        </w:tc>
        <w:tc>
          <w:tcPr>
            <w:tcW w:w="784" w:type="pct"/>
            <w:gridSpan w:val="3"/>
            <w:shd w:val="clear" w:color="auto" w:fill="D9D9D9"/>
          </w:tcPr>
          <w:p w:rsidR="00931CB5" w:rsidRPr="00931CB5" w:rsidRDefault="00931CB5" w:rsidP="00931CB5">
            <w:pPr>
              <w:jc w:val="center"/>
              <w:rPr>
                <w:b/>
                <w:sz w:val="20"/>
                <w:szCs w:val="20"/>
              </w:rPr>
            </w:pPr>
            <w:r w:rsidRPr="00931CB5">
              <w:rPr>
                <w:b/>
                <w:sz w:val="20"/>
                <w:szCs w:val="20"/>
              </w:rPr>
              <w:t>Polazna vrijednost 2023.</w:t>
            </w:r>
          </w:p>
        </w:tc>
        <w:tc>
          <w:tcPr>
            <w:tcW w:w="678" w:type="pct"/>
            <w:shd w:val="clear" w:color="auto" w:fill="D9D9D9"/>
          </w:tcPr>
          <w:p w:rsidR="00931CB5" w:rsidRPr="00931CB5" w:rsidRDefault="00931CB5" w:rsidP="00931CB5">
            <w:pPr>
              <w:jc w:val="center"/>
              <w:rPr>
                <w:b/>
                <w:sz w:val="20"/>
                <w:szCs w:val="20"/>
              </w:rPr>
            </w:pPr>
            <w:r w:rsidRPr="00931CB5">
              <w:rPr>
                <w:b/>
                <w:sz w:val="20"/>
                <w:szCs w:val="20"/>
              </w:rPr>
              <w:t>Izvor podataka</w:t>
            </w:r>
          </w:p>
        </w:tc>
        <w:tc>
          <w:tcPr>
            <w:tcW w:w="779" w:type="pct"/>
            <w:gridSpan w:val="2"/>
            <w:shd w:val="clear" w:color="auto" w:fill="D9D9D9"/>
          </w:tcPr>
          <w:p w:rsidR="00931CB5" w:rsidRPr="00931CB5" w:rsidRDefault="00931CB5" w:rsidP="00931CB5">
            <w:pPr>
              <w:jc w:val="center"/>
              <w:rPr>
                <w:b/>
                <w:sz w:val="20"/>
                <w:szCs w:val="20"/>
              </w:rPr>
            </w:pPr>
            <w:r w:rsidRPr="00931CB5">
              <w:rPr>
                <w:b/>
                <w:sz w:val="20"/>
                <w:szCs w:val="20"/>
              </w:rPr>
              <w:t>Ciljana vrijednost 2023.</w:t>
            </w:r>
          </w:p>
        </w:tc>
        <w:tc>
          <w:tcPr>
            <w:tcW w:w="778" w:type="pct"/>
            <w:gridSpan w:val="2"/>
            <w:shd w:val="clear" w:color="auto" w:fill="D9D9D9"/>
          </w:tcPr>
          <w:p w:rsidR="00931CB5" w:rsidRPr="00931CB5" w:rsidRDefault="00931CB5" w:rsidP="00931CB5">
            <w:pPr>
              <w:jc w:val="center"/>
              <w:rPr>
                <w:b/>
                <w:sz w:val="20"/>
                <w:szCs w:val="20"/>
              </w:rPr>
            </w:pPr>
            <w:r w:rsidRPr="00931CB5">
              <w:rPr>
                <w:b/>
                <w:sz w:val="20"/>
                <w:szCs w:val="20"/>
              </w:rPr>
              <w:t>Ostvarena vrijednost 2023.</w:t>
            </w:r>
          </w:p>
        </w:tc>
      </w:tr>
      <w:tr w:rsidR="00931CB5" w:rsidRPr="00931CB5" w:rsidTr="00A0456C">
        <w:tblPrEx>
          <w:tblLook w:val="04A0" w:firstRow="1" w:lastRow="0" w:firstColumn="1" w:lastColumn="0" w:noHBand="0" w:noVBand="1"/>
        </w:tblPrEx>
        <w:trPr>
          <w:trHeight w:val="169"/>
        </w:trPr>
        <w:tc>
          <w:tcPr>
            <w:tcW w:w="749" w:type="pct"/>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Povećanje broja  polaznika početničkog solfeggia</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Poticanje upisa većem broju polaznika koji se ranije nisu susreli s glazbom</w:t>
            </w:r>
          </w:p>
        </w:tc>
        <w:tc>
          <w:tcPr>
            <w:tcW w:w="578" w:type="pct"/>
            <w:tcBorders>
              <w:top w:val="single" w:sz="4" w:space="0" w:color="auto"/>
              <w:left w:val="single" w:sz="4" w:space="0" w:color="auto"/>
              <w:bottom w:val="single" w:sz="4" w:space="0" w:color="auto"/>
              <w:right w:val="single" w:sz="4" w:space="0" w:color="auto"/>
            </w:tcBorders>
          </w:tcPr>
          <w:p w:rsidR="00931CB5" w:rsidRPr="00931CB5" w:rsidRDefault="00931CB5" w:rsidP="00931CB5">
            <w:pPr>
              <w:rPr>
                <w:sz w:val="14"/>
                <w:szCs w:val="14"/>
              </w:rPr>
            </w:pPr>
            <w:r w:rsidRPr="00931CB5">
              <w:rPr>
                <w:sz w:val="14"/>
                <w:szCs w:val="14"/>
              </w:rPr>
              <w:t>Broj upisanih polaznika u predškolski program</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12</w:t>
            </w:r>
          </w:p>
        </w:tc>
        <w:tc>
          <w:tcPr>
            <w:tcW w:w="678" w:type="pct"/>
            <w:tcBorders>
              <w:top w:val="single" w:sz="4" w:space="0" w:color="auto"/>
              <w:left w:val="single" w:sz="4" w:space="0" w:color="auto"/>
              <w:bottom w:val="single" w:sz="4" w:space="0" w:color="auto"/>
              <w:right w:val="single" w:sz="4" w:space="0" w:color="auto"/>
            </w:tcBorders>
          </w:tcPr>
          <w:p w:rsidR="00931CB5" w:rsidRPr="00931CB5" w:rsidRDefault="00931CB5" w:rsidP="00931CB5">
            <w:pPr>
              <w:rPr>
                <w:sz w:val="14"/>
                <w:szCs w:val="14"/>
              </w:rPr>
            </w:pPr>
            <w:r w:rsidRPr="00931CB5">
              <w:rPr>
                <w:sz w:val="14"/>
                <w:szCs w:val="14"/>
              </w:rPr>
              <w:t>Evidencija učenika</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20</w:t>
            </w:r>
          </w:p>
        </w:tc>
        <w:tc>
          <w:tcPr>
            <w:tcW w:w="778" w:type="pct"/>
            <w:gridSpan w:val="2"/>
            <w:tcBorders>
              <w:top w:val="single" w:sz="4" w:space="0" w:color="auto"/>
              <w:left w:val="single" w:sz="4" w:space="0" w:color="auto"/>
              <w:bottom w:val="single" w:sz="4" w:space="0" w:color="auto"/>
              <w:right w:val="single" w:sz="4" w:space="0" w:color="auto"/>
            </w:tcBorders>
          </w:tcPr>
          <w:p w:rsidR="00931CB5" w:rsidRPr="00931CB5" w:rsidRDefault="00931CB5" w:rsidP="00931CB5">
            <w:pPr>
              <w:rPr>
                <w:sz w:val="14"/>
                <w:szCs w:val="14"/>
              </w:rPr>
            </w:pPr>
            <w:r w:rsidRPr="00931CB5">
              <w:rPr>
                <w:sz w:val="14"/>
                <w:szCs w:val="14"/>
              </w:rPr>
              <w:t>17</w:t>
            </w:r>
          </w:p>
        </w:tc>
      </w:tr>
      <w:tr w:rsidR="00931CB5" w:rsidRPr="00931CB5" w:rsidTr="00A0456C">
        <w:tblPrEx>
          <w:tblLook w:val="04A0" w:firstRow="1" w:lastRow="0" w:firstColumn="1" w:lastColumn="0" w:noHBand="0" w:noVBand="1"/>
        </w:tblPrEx>
        <w:trPr>
          <w:trHeight w:val="169"/>
        </w:trPr>
        <w:tc>
          <w:tcPr>
            <w:tcW w:w="749" w:type="pct"/>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 xml:space="preserve">Povećanje broja  polaznika glazbenog vrtića </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Poticanje upisa većem broju polaznika koji se ranije nisu susreli s glazbom</w:t>
            </w:r>
          </w:p>
        </w:tc>
        <w:tc>
          <w:tcPr>
            <w:tcW w:w="578" w:type="pct"/>
            <w:tcBorders>
              <w:top w:val="single" w:sz="4" w:space="0" w:color="auto"/>
              <w:left w:val="single" w:sz="4" w:space="0" w:color="auto"/>
              <w:bottom w:val="single" w:sz="4" w:space="0" w:color="auto"/>
              <w:right w:val="single" w:sz="4" w:space="0" w:color="auto"/>
            </w:tcBorders>
          </w:tcPr>
          <w:p w:rsidR="00931CB5" w:rsidRPr="00931CB5" w:rsidRDefault="00931CB5" w:rsidP="00931CB5">
            <w:pPr>
              <w:rPr>
                <w:sz w:val="14"/>
                <w:szCs w:val="14"/>
              </w:rPr>
            </w:pPr>
            <w:r w:rsidRPr="00931CB5">
              <w:rPr>
                <w:sz w:val="14"/>
                <w:szCs w:val="14"/>
              </w:rPr>
              <w:t>Broj upisanih polaznika u predškolski program</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0</w:t>
            </w:r>
          </w:p>
        </w:tc>
        <w:tc>
          <w:tcPr>
            <w:tcW w:w="678" w:type="pct"/>
            <w:tcBorders>
              <w:top w:val="single" w:sz="4" w:space="0" w:color="auto"/>
              <w:left w:val="single" w:sz="4" w:space="0" w:color="auto"/>
              <w:bottom w:val="single" w:sz="4" w:space="0" w:color="auto"/>
              <w:right w:val="single" w:sz="4" w:space="0" w:color="auto"/>
            </w:tcBorders>
          </w:tcPr>
          <w:p w:rsidR="00931CB5" w:rsidRPr="00931CB5" w:rsidRDefault="00931CB5" w:rsidP="00931CB5">
            <w:pPr>
              <w:rPr>
                <w:sz w:val="14"/>
                <w:szCs w:val="14"/>
              </w:rPr>
            </w:pPr>
            <w:r w:rsidRPr="00931CB5">
              <w:rPr>
                <w:sz w:val="14"/>
                <w:szCs w:val="14"/>
              </w:rPr>
              <w:t>Evidencija učenika</w:t>
            </w:r>
          </w:p>
        </w:tc>
        <w:tc>
          <w:tcPr>
            <w:tcW w:w="779" w:type="pct"/>
            <w:gridSpan w:val="2"/>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931CB5">
            <w:pPr>
              <w:rPr>
                <w:sz w:val="14"/>
                <w:szCs w:val="14"/>
              </w:rPr>
            </w:pPr>
            <w:r w:rsidRPr="00931CB5">
              <w:rPr>
                <w:sz w:val="14"/>
                <w:szCs w:val="14"/>
              </w:rPr>
              <w:t>25</w:t>
            </w:r>
          </w:p>
        </w:tc>
        <w:tc>
          <w:tcPr>
            <w:tcW w:w="778" w:type="pct"/>
            <w:gridSpan w:val="2"/>
            <w:tcBorders>
              <w:top w:val="single" w:sz="4" w:space="0" w:color="auto"/>
              <w:left w:val="single" w:sz="4" w:space="0" w:color="auto"/>
              <w:bottom w:val="single" w:sz="4" w:space="0" w:color="auto"/>
              <w:right w:val="single" w:sz="4" w:space="0" w:color="auto"/>
            </w:tcBorders>
          </w:tcPr>
          <w:p w:rsidR="00931CB5" w:rsidRPr="00931CB5" w:rsidRDefault="00931CB5" w:rsidP="00931CB5">
            <w:pPr>
              <w:rPr>
                <w:sz w:val="14"/>
                <w:szCs w:val="14"/>
              </w:rPr>
            </w:pPr>
            <w:r w:rsidRPr="00931CB5">
              <w:rPr>
                <w:sz w:val="14"/>
                <w:szCs w:val="14"/>
              </w:rPr>
              <w:t>22</w:t>
            </w:r>
          </w:p>
        </w:tc>
      </w:tr>
      <w:tr w:rsidR="00931CB5" w:rsidRPr="00931CB5" w:rsidTr="00A0456C">
        <w:tblPrEx>
          <w:tblLook w:val="04A0" w:firstRow="1" w:lastRow="0" w:firstColumn="1" w:lastColumn="0" w:noHBand="0" w:noVBand="1"/>
        </w:tblPrEx>
        <w:trPr>
          <w:trHeight w:val="169"/>
        </w:trPr>
        <w:tc>
          <w:tcPr>
            <w:tcW w:w="749" w:type="pct"/>
            <w:shd w:val="clear" w:color="auto" w:fill="auto"/>
          </w:tcPr>
          <w:p w:rsidR="00931CB5" w:rsidRPr="00931CB5" w:rsidRDefault="00931CB5" w:rsidP="00931CB5">
            <w:pPr>
              <w:rPr>
                <w:sz w:val="14"/>
                <w:szCs w:val="14"/>
              </w:rPr>
            </w:pPr>
            <w:r w:rsidRPr="00931CB5">
              <w:rPr>
                <w:sz w:val="14"/>
                <w:szCs w:val="14"/>
              </w:rPr>
              <w:t xml:space="preserve">Povećanje broja  učenika </w:t>
            </w:r>
          </w:p>
        </w:tc>
        <w:tc>
          <w:tcPr>
            <w:tcW w:w="654" w:type="pct"/>
            <w:gridSpan w:val="2"/>
            <w:shd w:val="clear" w:color="auto" w:fill="auto"/>
          </w:tcPr>
          <w:p w:rsidR="00931CB5" w:rsidRPr="00931CB5" w:rsidRDefault="00931CB5" w:rsidP="00931CB5">
            <w:pPr>
              <w:rPr>
                <w:sz w:val="14"/>
                <w:szCs w:val="14"/>
              </w:rPr>
            </w:pPr>
            <w:r w:rsidRPr="00931CB5">
              <w:rPr>
                <w:sz w:val="14"/>
                <w:szCs w:val="14"/>
              </w:rPr>
              <w:t>Poticanje upisa većem broju učenika koji se ranije nisu susreli s glazbom</w:t>
            </w:r>
          </w:p>
        </w:tc>
        <w:tc>
          <w:tcPr>
            <w:tcW w:w="578" w:type="pct"/>
          </w:tcPr>
          <w:p w:rsidR="00931CB5" w:rsidRPr="00931CB5" w:rsidRDefault="00931CB5" w:rsidP="00931CB5">
            <w:pPr>
              <w:rPr>
                <w:sz w:val="14"/>
                <w:szCs w:val="14"/>
              </w:rPr>
            </w:pPr>
            <w:r w:rsidRPr="00931CB5">
              <w:rPr>
                <w:sz w:val="14"/>
                <w:szCs w:val="14"/>
              </w:rPr>
              <w:t>Broj upisanih učenika u osnovno školstvo</w:t>
            </w:r>
          </w:p>
        </w:tc>
        <w:tc>
          <w:tcPr>
            <w:tcW w:w="784" w:type="pct"/>
            <w:gridSpan w:val="3"/>
            <w:shd w:val="clear" w:color="auto" w:fill="auto"/>
          </w:tcPr>
          <w:p w:rsidR="00931CB5" w:rsidRPr="00931CB5" w:rsidRDefault="00931CB5" w:rsidP="00931CB5">
            <w:pPr>
              <w:rPr>
                <w:sz w:val="14"/>
                <w:szCs w:val="14"/>
              </w:rPr>
            </w:pPr>
            <w:r w:rsidRPr="00931CB5">
              <w:rPr>
                <w:sz w:val="14"/>
                <w:szCs w:val="14"/>
              </w:rPr>
              <w:t>220</w:t>
            </w:r>
          </w:p>
        </w:tc>
        <w:tc>
          <w:tcPr>
            <w:tcW w:w="678" w:type="pct"/>
          </w:tcPr>
          <w:p w:rsidR="00931CB5" w:rsidRPr="00931CB5" w:rsidRDefault="00931CB5" w:rsidP="00931CB5">
            <w:pPr>
              <w:rPr>
                <w:sz w:val="14"/>
                <w:szCs w:val="14"/>
              </w:rPr>
            </w:pPr>
            <w:r w:rsidRPr="00931CB5">
              <w:rPr>
                <w:sz w:val="14"/>
                <w:szCs w:val="14"/>
              </w:rPr>
              <w:t>Evidencija učenika</w:t>
            </w:r>
          </w:p>
        </w:tc>
        <w:tc>
          <w:tcPr>
            <w:tcW w:w="779" w:type="pct"/>
            <w:gridSpan w:val="2"/>
            <w:shd w:val="clear" w:color="auto" w:fill="auto"/>
          </w:tcPr>
          <w:p w:rsidR="00931CB5" w:rsidRPr="00931CB5" w:rsidRDefault="00931CB5" w:rsidP="00931CB5">
            <w:pPr>
              <w:rPr>
                <w:sz w:val="14"/>
                <w:szCs w:val="14"/>
              </w:rPr>
            </w:pPr>
            <w:r w:rsidRPr="00931CB5">
              <w:rPr>
                <w:sz w:val="14"/>
                <w:szCs w:val="14"/>
              </w:rPr>
              <w:t>250</w:t>
            </w:r>
          </w:p>
        </w:tc>
        <w:tc>
          <w:tcPr>
            <w:tcW w:w="778" w:type="pct"/>
            <w:gridSpan w:val="2"/>
          </w:tcPr>
          <w:p w:rsidR="00931CB5" w:rsidRPr="00931CB5" w:rsidRDefault="00931CB5" w:rsidP="00931CB5">
            <w:pPr>
              <w:rPr>
                <w:sz w:val="14"/>
                <w:szCs w:val="14"/>
              </w:rPr>
            </w:pPr>
            <w:r w:rsidRPr="00931CB5">
              <w:rPr>
                <w:sz w:val="14"/>
                <w:szCs w:val="14"/>
              </w:rPr>
              <w:t>240</w:t>
            </w:r>
          </w:p>
        </w:tc>
      </w:tr>
    </w:tbl>
    <w:p w:rsidR="00931CB5" w:rsidRDefault="00931CB5" w:rsidP="00931CB5">
      <w:pPr>
        <w:rPr>
          <w:color w:val="FF0000"/>
        </w:rPr>
      </w:pPr>
    </w:p>
    <w:p w:rsidR="00931CB5" w:rsidRPr="00931CB5" w:rsidRDefault="00931CB5" w:rsidP="00931CB5">
      <w:pPr>
        <w:rPr>
          <w:color w:val="FF0000"/>
        </w:rPr>
      </w:pPr>
    </w:p>
    <w:p w:rsidR="00931CB5" w:rsidRDefault="00931CB5" w:rsidP="00931CB5">
      <w:pPr>
        <w:jc w:val="center"/>
        <w:rPr>
          <w:b/>
          <w:sz w:val="28"/>
          <w:szCs w:val="28"/>
        </w:rPr>
      </w:pPr>
      <w:r w:rsidRPr="00931CB5">
        <w:rPr>
          <w:b/>
          <w:sz w:val="28"/>
          <w:szCs w:val="28"/>
        </w:rPr>
        <w:t>I. OPĆI DIO</w:t>
      </w:r>
    </w:p>
    <w:p w:rsidR="00010A65" w:rsidRDefault="00010A65" w:rsidP="00931CB5">
      <w:pPr>
        <w:jc w:val="center"/>
        <w:rPr>
          <w:b/>
          <w:sz w:val="28"/>
          <w:szCs w:val="28"/>
        </w:rPr>
      </w:pPr>
    </w:p>
    <w:p w:rsidR="00010A65" w:rsidRPr="00010A65" w:rsidRDefault="00010A65" w:rsidP="00010A65"/>
    <w:p w:rsidR="00931CB5" w:rsidRDefault="00931CB5" w:rsidP="00931CB5">
      <w:pPr>
        <w:jc w:val="center"/>
      </w:pPr>
    </w:p>
    <w:p w:rsidR="00931CB5" w:rsidRPr="00C04E71" w:rsidRDefault="00931CB5" w:rsidP="00931CB5">
      <w:pPr>
        <w:spacing w:line="276" w:lineRule="auto"/>
        <w:rPr>
          <w:rFonts w:ascii="Calibri" w:eastAsia="Calibri" w:hAnsi="Calibri"/>
          <w:i/>
          <w:lang w:eastAsia="en-US"/>
        </w:rPr>
      </w:pPr>
      <w:r w:rsidRPr="00C04E71">
        <w:rPr>
          <w:rFonts w:ascii="Calibri" w:eastAsia="Calibri" w:hAnsi="Calibri"/>
          <w:b/>
          <w:i/>
          <w:sz w:val="26"/>
          <w:szCs w:val="26"/>
          <w:lang w:eastAsia="en-US"/>
        </w:rPr>
        <w:t>Ukupni prihodi poslovanja iznose 762.204,75 eura</w:t>
      </w:r>
      <w:r w:rsidRPr="00C04E71">
        <w:rPr>
          <w:rFonts w:ascii="Calibri" w:eastAsia="Calibri" w:hAnsi="Calibri"/>
          <w:i/>
          <w:sz w:val="26"/>
          <w:szCs w:val="26"/>
          <w:lang w:eastAsia="en-US"/>
        </w:rPr>
        <w:t>,</w:t>
      </w:r>
      <w:r w:rsidRPr="00C04E71">
        <w:rPr>
          <w:rFonts w:ascii="Calibri" w:eastAsia="Calibri" w:hAnsi="Calibri"/>
          <w:i/>
          <w:lang w:eastAsia="en-US"/>
        </w:rPr>
        <w:t xml:space="preserve"> a odnose se na:</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t xml:space="preserve">Tekuća pomoć iz državnog proračuna  proračunskim korisnicima proračuna JLP(R)S za ukupne rashode u iznosu od 657.030,50 eura </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t xml:space="preserve">Tekuća pomoć proračunskim korisnicima iz proračuna JLP(R)S koji im nije nadležan- pomoć Grada Omiša u iznosu od 6.600,00 eura </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t>Prihodi po posebnim propisima iznose 51.649,91 eura, a ostvareni su od naplate participacije roditelja učenika Škole, polaznika početničkog solfeggia i glazbenog vrtića te najma instrumenata.</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t xml:space="preserve">Prihod od tekućih donacija od ostalih subjekata  izvan općeg proračuna u iznosu od 2.184,53 eura </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t>Prihodi od kapitalnih donacija ostvareni su u ukupnom iznosu 200,00 eura, donirana nam je truba Yamaha YTR136</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lastRenderedPageBreak/>
        <w:t xml:space="preserve">Prihodi iz nadležnog proračuna Splitsko-dalmatinske županije za financiranje materijalnih rashoda ostvareni su u iznosu od 44.539,80 eura </w:t>
      </w:r>
    </w:p>
    <w:p w:rsidR="00931CB5" w:rsidRPr="00C04E71" w:rsidRDefault="00931CB5" w:rsidP="00931CB5">
      <w:pPr>
        <w:numPr>
          <w:ilvl w:val="0"/>
          <w:numId w:val="1"/>
        </w:numPr>
        <w:spacing w:after="200" w:line="276" w:lineRule="auto"/>
        <w:contextualSpacing/>
        <w:jc w:val="both"/>
        <w:rPr>
          <w:rFonts w:ascii="Calibri" w:eastAsia="Calibri" w:hAnsi="Calibri"/>
          <w:lang w:eastAsia="en-US"/>
        </w:rPr>
      </w:pPr>
      <w:r w:rsidRPr="00C04E71">
        <w:rPr>
          <w:rFonts w:ascii="Calibri" w:eastAsia="Calibri" w:hAnsi="Calibri"/>
          <w:lang w:eastAsia="en-US"/>
        </w:rPr>
        <w:t xml:space="preserve">Prihod od financijske imovine ostvaren je u iznosu od 0,01 eura. </w:t>
      </w:r>
    </w:p>
    <w:p w:rsidR="00931CB5" w:rsidRDefault="00931CB5" w:rsidP="00931CB5">
      <w:pPr>
        <w:spacing w:line="276" w:lineRule="auto"/>
        <w:jc w:val="both"/>
        <w:rPr>
          <w:rFonts w:ascii="Calibri" w:eastAsia="Calibri" w:hAnsi="Calibri"/>
          <w:b/>
          <w:lang w:eastAsia="en-US"/>
        </w:rPr>
      </w:pPr>
      <w:r w:rsidRPr="00C04E71">
        <w:rPr>
          <w:rFonts w:ascii="Calibri" w:eastAsia="Calibri" w:hAnsi="Calibri"/>
          <w:lang w:eastAsia="en-US"/>
        </w:rPr>
        <w:t xml:space="preserve">U odnosu na prethodnu godinu vidljivo nam je </w:t>
      </w:r>
      <w:r w:rsidRPr="00C04E71">
        <w:rPr>
          <w:rFonts w:ascii="Calibri" w:eastAsia="Calibri" w:hAnsi="Calibri"/>
          <w:b/>
          <w:lang w:eastAsia="en-US"/>
        </w:rPr>
        <w:t>povećanje ukupnih</w:t>
      </w:r>
      <w:r>
        <w:rPr>
          <w:rFonts w:ascii="Calibri" w:eastAsia="Calibri" w:hAnsi="Calibri"/>
          <w:b/>
          <w:lang w:eastAsia="en-US"/>
        </w:rPr>
        <w:t xml:space="preserve"> prihoda za 23</w:t>
      </w:r>
      <w:r w:rsidRPr="00C04E71">
        <w:rPr>
          <w:rFonts w:ascii="Calibri" w:eastAsia="Calibri" w:hAnsi="Calibri"/>
          <w:b/>
          <w:lang w:eastAsia="en-US"/>
        </w:rPr>
        <w:t>%.</w:t>
      </w:r>
    </w:p>
    <w:p w:rsidR="00931CB5" w:rsidRPr="00431677" w:rsidRDefault="00931CB5" w:rsidP="00931CB5">
      <w:pPr>
        <w:spacing w:line="276" w:lineRule="auto"/>
        <w:jc w:val="both"/>
        <w:rPr>
          <w:rFonts w:ascii="Calibri" w:eastAsia="Calibri" w:hAnsi="Calibri"/>
          <w:lang w:eastAsia="en-US"/>
        </w:rPr>
      </w:pPr>
      <w:r w:rsidRPr="00431677">
        <w:rPr>
          <w:rFonts w:ascii="Calibri" w:eastAsia="Calibri" w:hAnsi="Calibri"/>
          <w:lang w:eastAsia="en-US"/>
        </w:rPr>
        <w:t xml:space="preserve">Gledajući kretanja pojedinačno po izvorima financiranja vidljivo nam je povećanje prihod za posebne namjene  za </w:t>
      </w:r>
      <w:r w:rsidRPr="00431677">
        <w:rPr>
          <w:rFonts w:ascii="Calibri" w:eastAsia="Calibri" w:hAnsi="Calibri"/>
          <w:b/>
          <w:lang w:eastAsia="en-US"/>
        </w:rPr>
        <w:t>2,5%</w:t>
      </w:r>
      <w:r w:rsidRPr="00431677">
        <w:rPr>
          <w:rFonts w:ascii="Calibri" w:eastAsia="Calibri" w:hAnsi="Calibri"/>
          <w:lang w:eastAsia="en-US"/>
        </w:rPr>
        <w:t xml:space="preserve"> koje proizlazi iz povećanja broja učenika. </w:t>
      </w:r>
    </w:p>
    <w:p w:rsidR="00931CB5" w:rsidRPr="00431677" w:rsidRDefault="00C76B8A" w:rsidP="00931CB5">
      <w:pPr>
        <w:spacing w:line="276" w:lineRule="auto"/>
        <w:jc w:val="both"/>
        <w:rPr>
          <w:rFonts w:ascii="Calibri" w:eastAsia="Calibri" w:hAnsi="Calibri"/>
          <w:lang w:eastAsia="en-US"/>
        </w:rPr>
      </w:pPr>
      <w:r>
        <w:rPr>
          <w:rFonts w:ascii="Calibri" w:eastAsia="Calibri" w:hAnsi="Calibri"/>
          <w:lang w:eastAsia="en-US"/>
        </w:rPr>
        <w:t>Prethodne godine</w:t>
      </w:r>
      <w:r w:rsidR="00931CB5" w:rsidRPr="00431677">
        <w:rPr>
          <w:rFonts w:ascii="Calibri" w:eastAsia="Calibri" w:hAnsi="Calibri"/>
          <w:lang w:eastAsia="en-US"/>
        </w:rPr>
        <w:t xml:space="preserve"> Školu je pohađalo 228 učenika  (193 učenika su plaćala punu participaciju, 33 učenika su plaćala participaciju umanjenu za 50%, a 2 učenika  nisu plaćala participaciju jer su ostvarili pravo umanjenja od 100%), dok se na kraju izvještajnog razdoblja taj broj povećao na 240 učenika (202 učenika su plaćala punu participaciju, 31 učenik je plaćao participaciju umanjenu za 50%, a 7 učenika ne plaćaju participaciju jer su ostvarili pravo umanjenja od 100%). </w:t>
      </w:r>
    </w:p>
    <w:p w:rsidR="00931CB5" w:rsidRPr="00431677" w:rsidRDefault="00C76B8A" w:rsidP="00931CB5">
      <w:pPr>
        <w:spacing w:line="276" w:lineRule="auto"/>
        <w:jc w:val="both"/>
        <w:rPr>
          <w:rFonts w:ascii="Calibri" w:eastAsia="Calibri" w:hAnsi="Calibri"/>
          <w:lang w:eastAsia="en-US"/>
        </w:rPr>
      </w:pPr>
      <w:r>
        <w:rPr>
          <w:rFonts w:ascii="Calibri" w:eastAsia="Calibri" w:hAnsi="Calibri"/>
          <w:lang w:eastAsia="en-US"/>
        </w:rPr>
        <w:t>Prethodne godine</w:t>
      </w:r>
      <w:r w:rsidR="00931CB5" w:rsidRPr="00431677">
        <w:rPr>
          <w:rFonts w:ascii="Calibri" w:eastAsia="Calibri" w:hAnsi="Calibri"/>
          <w:lang w:eastAsia="en-US"/>
        </w:rPr>
        <w:t xml:space="preserve"> Školu je pohađalo 12 polaznika početničkog solfeggia (7 polaznika su plaćala punu participaciju, 3 polaznika su plaćala participaciju umanjenu za 50%, a 2 polaznika nisu plaćala participaciju jer su ostvarili pravo umanjenja od 100%), dok je na kraju izvještajnog razdoblja 17 polaznika (13 polaznika plaća punu participaciju, 3 polaznika plaćaju participaciju umanjenu za 50%, a 1 polaznik  ne plaća participaciju jer je ostvario pravo umanjenja od 100%). </w:t>
      </w:r>
    </w:p>
    <w:p w:rsidR="00931CB5" w:rsidRPr="00431677" w:rsidRDefault="00931CB5" w:rsidP="00931CB5">
      <w:pPr>
        <w:spacing w:line="276" w:lineRule="auto"/>
        <w:jc w:val="both"/>
        <w:rPr>
          <w:rFonts w:ascii="Calibri" w:eastAsia="Calibri" w:hAnsi="Calibri"/>
          <w:lang w:eastAsia="en-US"/>
        </w:rPr>
      </w:pPr>
      <w:r w:rsidRPr="00431677">
        <w:rPr>
          <w:rFonts w:ascii="Calibri" w:eastAsia="Calibri" w:hAnsi="Calibri"/>
          <w:lang w:eastAsia="en-US"/>
        </w:rPr>
        <w:t xml:space="preserve">Prethodne godine nije se održavao glazbeni vrtić, dok ove godine on broji 22 polaznika (16 polaznika plaća punu participaciju, 5 polaznika plaćaju participaciju umanjenu za 50%, a 1 polaznik  ne plaća participaciju jer je ostvario pravo umanjenja od 100%). </w:t>
      </w:r>
    </w:p>
    <w:p w:rsidR="00931CB5" w:rsidRPr="00431677" w:rsidRDefault="00C76B8A" w:rsidP="00931CB5">
      <w:pPr>
        <w:spacing w:line="276" w:lineRule="auto"/>
        <w:jc w:val="both"/>
        <w:rPr>
          <w:rFonts w:ascii="Calibri" w:eastAsia="Calibri" w:hAnsi="Calibri"/>
          <w:lang w:eastAsia="en-US"/>
        </w:rPr>
      </w:pPr>
      <w:r>
        <w:rPr>
          <w:rFonts w:ascii="Calibri" w:eastAsia="Calibri" w:hAnsi="Calibri"/>
          <w:lang w:eastAsia="en-US"/>
        </w:rPr>
        <w:t>Prethodne godine</w:t>
      </w:r>
      <w:r w:rsidR="00931CB5" w:rsidRPr="00431677">
        <w:rPr>
          <w:rFonts w:ascii="Calibri" w:eastAsia="Calibri" w:hAnsi="Calibri"/>
          <w:lang w:eastAsia="en-US"/>
        </w:rPr>
        <w:t xml:space="preserve"> 96 učenika plaća najam školskih instrumenata. Do kraja izvještajnog razdoblja taj broj je porastao za 2%.. </w:t>
      </w:r>
    </w:p>
    <w:p w:rsidR="00931CB5" w:rsidRPr="00431677" w:rsidRDefault="00931CB5" w:rsidP="00931CB5">
      <w:pPr>
        <w:spacing w:line="276" w:lineRule="auto"/>
        <w:jc w:val="both"/>
        <w:rPr>
          <w:rFonts w:ascii="Calibri" w:eastAsia="Calibri" w:hAnsi="Calibri"/>
          <w:lang w:eastAsia="en-US"/>
        </w:rPr>
      </w:pPr>
      <w:r w:rsidRPr="00431677">
        <w:rPr>
          <w:rFonts w:ascii="Calibri" w:eastAsia="Calibri" w:hAnsi="Calibri"/>
          <w:lang w:eastAsia="en-US"/>
        </w:rPr>
        <w:t xml:space="preserve">Tekuće donacije povećale su se za </w:t>
      </w:r>
      <w:r w:rsidRPr="00431677">
        <w:rPr>
          <w:rFonts w:ascii="Calibri" w:eastAsia="Calibri" w:hAnsi="Calibri"/>
          <w:b/>
          <w:lang w:eastAsia="en-US"/>
        </w:rPr>
        <w:t>2,9%,</w:t>
      </w:r>
      <w:r w:rsidRPr="00431677">
        <w:rPr>
          <w:rFonts w:ascii="Calibri" w:eastAsia="Calibri" w:hAnsi="Calibri"/>
          <w:lang w:eastAsia="en-US"/>
        </w:rPr>
        <w:t xml:space="preserve"> dok su se kapitalne donacije smanjile za </w:t>
      </w:r>
      <w:r w:rsidRPr="00431677">
        <w:rPr>
          <w:rFonts w:ascii="Calibri" w:eastAsia="Calibri" w:hAnsi="Calibri"/>
          <w:b/>
          <w:lang w:eastAsia="en-US"/>
        </w:rPr>
        <w:t>78,9%.</w:t>
      </w:r>
      <w:r w:rsidRPr="00431677">
        <w:rPr>
          <w:rFonts w:ascii="Calibri" w:eastAsia="Calibri" w:hAnsi="Calibri"/>
          <w:lang w:eastAsia="en-US"/>
        </w:rPr>
        <w:t xml:space="preserve"> Prihod iz nadležnog proračuna za financiranje rashoda poslovanja (proračun SDŽ) povećao se za </w:t>
      </w:r>
      <w:r w:rsidRPr="00431677">
        <w:rPr>
          <w:rFonts w:ascii="Calibri" w:eastAsia="Calibri" w:hAnsi="Calibri"/>
          <w:b/>
          <w:lang w:eastAsia="en-US"/>
        </w:rPr>
        <w:t>46%</w:t>
      </w:r>
      <w:r w:rsidRPr="00431677">
        <w:rPr>
          <w:rFonts w:ascii="Calibri" w:eastAsia="Calibri" w:hAnsi="Calibri"/>
          <w:lang w:eastAsia="en-US"/>
        </w:rPr>
        <w:t>. Do ovako velikog povećanja dolazi zbog materijalnih troškova iz 12./2022. godine koji su uplaćeni na naš račun u  s</w:t>
      </w:r>
      <w:r w:rsidR="00C76B8A">
        <w:rPr>
          <w:rFonts w:ascii="Calibri" w:eastAsia="Calibri" w:hAnsi="Calibri"/>
          <w:lang w:eastAsia="en-US"/>
        </w:rPr>
        <w:t>iječnju 2023. Uspoređujući realizirani</w:t>
      </w:r>
      <w:r w:rsidRPr="00431677">
        <w:rPr>
          <w:rFonts w:ascii="Calibri" w:eastAsia="Calibri" w:hAnsi="Calibri"/>
          <w:lang w:eastAsia="en-US"/>
        </w:rPr>
        <w:t xml:space="preserve"> proračun </w:t>
      </w:r>
      <w:r w:rsidR="00C76B8A">
        <w:rPr>
          <w:rFonts w:ascii="Calibri" w:eastAsia="Calibri" w:hAnsi="Calibri"/>
          <w:lang w:eastAsia="en-US"/>
        </w:rPr>
        <w:t>2022. godine</w:t>
      </w:r>
      <w:r w:rsidRPr="00431677">
        <w:rPr>
          <w:rFonts w:ascii="Calibri" w:eastAsia="Calibri" w:hAnsi="Calibri"/>
          <w:lang w:eastAsia="en-US"/>
        </w:rPr>
        <w:t xml:space="preserve"> i </w:t>
      </w:r>
      <w:r w:rsidR="00C76B8A">
        <w:rPr>
          <w:rFonts w:ascii="Calibri" w:eastAsia="Calibri" w:hAnsi="Calibri"/>
          <w:lang w:eastAsia="en-US"/>
        </w:rPr>
        <w:t>realizirani proračun 2023. godine</w:t>
      </w:r>
      <w:r w:rsidRPr="00431677">
        <w:rPr>
          <w:rFonts w:ascii="Calibri" w:eastAsia="Calibri" w:hAnsi="Calibri"/>
          <w:lang w:eastAsia="en-US"/>
        </w:rPr>
        <w:t xml:space="preserve"> dolazi do povećanja od 3,1% u odnosu na prošlogodišnji proračun.  Kod pomoć iz proračuna koji nam nije nadležan dolazi do povećanja od </w:t>
      </w:r>
      <w:r w:rsidRPr="00431677">
        <w:rPr>
          <w:rFonts w:ascii="Calibri" w:eastAsia="Calibri" w:hAnsi="Calibri"/>
          <w:b/>
          <w:lang w:eastAsia="en-US"/>
        </w:rPr>
        <w:t>24%</w:t>
      </w:r>
      <w:r w:rsidRPr="00431677">
        <w:rPr>
          <w:rFonts w:ascii="Calibri" w:eastAsia="Calibri" w:hAnsi="Calibri"/>
          <w:lang w:eastAsia="en-US"/>
        </w:rPr>
        <w:t xml:space="preserve"> iz proračuna MZO,  te povećanja pomoći od Grada Omiša za </w:t>
      </w:r>
      <w:r w:rsidRPr="00431677">
        <w:rPr>
          <w:rFonts w:ascii="Calibri" w:eastAsia="Calibri" w:hAnsi="Calibri"/>
          <w:b/>
          <w:lang w:eastAsia="en-US"/>
        </w:rPr>
        <w:t>10,5%.</w:t>
      </w:r>
    </w:p>
    <w:p w:rsidR="00931CB5" w:rsidRDefault="00931CB5" w:rsidP="00931CB5">
      <w:pPr>
        <w:spacing w:line="276" w:lineRule="auto"/>
        <w:jc w:val="both"/>
        <w:rPr>
          <w:rFonts w:ascii="Calibri" w:eastAsia="Calibri" w:hAnsi="Calibri"/>
          <w:lang w:eastAsia="en-US"/>
        </w:rPr>
      </w:pPr>
      <w:r w:rsidRPr="00431677">
        <w:rPr>
          <w:rFonts w:ascii="Calibri" w:eastAsia="Calibri" w:hAnsi="Calibri"/>
          <w:lang w:eastAsia="en-US"/>
        </w:rPr>
        <w:t xml:space="preserve">Promatrajući omjer financiranje iz svih izvora vidljivo je da se škola najvećim dijelom financira iz pomoći MZO sa 86,2%, iz prihoda za posebne namjene sa 6,78%, iz prihoda nadležnog proračun (SDŽ) sa 5,84%, pomoći Grada Omiša sa 0,87% te donacijama sa  0,31%. </w:t>
      </w:r>
    </w:p>
    <w:p w:rsidR="00010A65" w:rsidRDefault="00010A65" w:rsidP="00931CB5">
      <w:pPr>
        <w:spacing w:line="276" w:lineRule="auto"/>
        <w:jc w:val="both"/>
        <w:rPr>
          <w:rFonts w:ascii="Calibri" w:eastAsia="Calibri" w:hAnsi="Calibri"/>
          <w:lang w:eastAsia="en-US"/>
        </w:rPr>
      </w:pPr>
    </w:p>
    <w:p w:rsidR="00010A65" w:rsidRPr="00431677" w:rsidRDefault="00010A65" w:rsidP="00931CB5">
      <w:pPr>
        <w:spacing w:line="276" w:lineRule="auto"/>
        <w:jc w:val="both"/>
        <w:rPr>
          <w:rFonts w:ascii="Calibri" w:eastAsia="Calibri" w:hAnsi="Calibri"/>
          <w:lang w:eastAsia="en-US"/>
        </w:rPr>
      </w:pPr>
      <w:r>
        <w:rPr>
          <w:rFonts w:ascii="Calibri" w:eastAsia="Calibri" w:hAnsi="Calibri"/>
          <w:lang w:eastAsia="en-US"/>
        </w:rPr>
        <w:t>Uspoređujući podatke prihoda 2023.  godine s prihodima iz 2022. godine vidljivo nam je povećanje u iznosu od 142</w:t>
      </w:r>
      <w:r w:rsidR="00841C8B">
        <w:rPr>
          <w:rFonts w:ascii="Calibri" w:eastAsia="Calibri" w:hAnsi="Calibri"/>
          <w:lang w:eastAsia="en-US"/>
        </w:rPr>
        <w:t>.</w:t>
      </w:r>
      <w:r>
        <w:rPr>
          <w:rFonts w:ascii="Calibri" w:eastAsia="Calibri" w:hAnsi="Calibri"/>
          <w:lang w:eastAsia="en-US"/>
        </w:rPr>
        <w:t xml:space="preserve">935,00 eura što je indeks povećanja od 23%. Isto tako uspoređujući izvorni financijski plan 2023. godine i izvršenje 2023. godine vidljivo nam je povećanje od 2,63%, dok je u odnosu na rebalans 2023. </w:t>
      </w:r>
      <w:r w:rsidR="00841C8B">
        <w:rPr>
          <w:rFonts w:ascii="Calibri" w:eastAsia="Calibri" w:hAnsi="Calibri"/>
          <w:lang w:eastAsia="en-US"/>
        </w:rPr>
        <w:t>realizacija manja za 2%.</w:t>
      </w:r>
    </w:p>
    <w:p w:rsidR="00931CB5" w:rsidRDefault="00931CB5" w:rsidP="00931CB5">
      <w:pPr>
        <w:spacing w:line="276" w:lineRule="auto"/>
        <w:rPr>
          <w:rFonts w:ascii="Calibri" w:eastAsia="Calibri" w:hAnsi="Calibri"/>
          <w:b/>
          <w:i/>
          <w:sz w:val="26"/>
          <w:szCs w:val="26"/>
          <w:lang w:eastAsia="en-US"/>
        </w:rPr>
      </w:pPr>
    </w:p>
    <w:p w:rsidR="00010A65" w:rsidRDefault="00010A65" w:rsidP="00931CB5">
      <w:pPr>
        <w:spacing w:line="276" w:lineRule="auto"/>
        <w:rPr>
          <w:rFonts w:ascii="Calibri" w:eastAsia="Calibri" w:hAnsi="Calibri"/>
          <w:b/>
          <w:i/>
          <w:sz w:val="26"/>
          <w:szCs w:val="26"/>
          <w:lang w:eastAsia="en-US"/>
        </w:rPr>
      </w:pPr>
    </w:p>
    <w:p w:rsidR="00841C8B" w:rsidRDefault="00841C8B" w:rsidP="00931CB5">
      <w:pPr>
        <w:spacing w:line="276" w:lineRule="auto"/>
        <w:rPr>
          <w:rFonts w:ascii="Calibri" w:eastAsia="Calibri" w:hAnsi="Calibri"/>
          <w:b/>
          <w:i/>
          <w:sz w:val="26"/>
          <w:szCs w:val="26"/>
          <w:lang w:eastAsia="en-US"/>
        </w:rPr>
      </w:pPr>
    </w:p>
    <w:p w:rsidR="00931CB5" w:rsidRPr="00C04E71" w:rsidRDefault="00931CB5" w:rsidP="00931CB5">
      <w:pPr>
        <w:spacing w:line="276" w:lineRule="auto"/>
        <w:rPr>
          <w:rFonts w:ascii="Calibri" w:eastAsia="Calibri" w:hAnsi="Calibri"/>
          <w:i/>
          <w:lang w:eastAsia="en-US"/>
        </w:rPr>
      </w:pPr>
      <w:r w:rsidRPr="00C04E71">
        <w:rPr>
          <w:rFonts w:ascii="Calibri" w:eastAsia="Calibri" w:hAnsi="Calibri"/>
          <w:b/>
          <w:i/>
          <w:sz w:val="26"/>
          <w:szCs w:val="26"/>
          <w:lang w:eastAsia="en-US"/>
        </w:rPr>
        <w:lastRenderedPageBreak/>
        <w:t>Ukupni rashodi poslovanja iznose 751.251,19 eura</w:t>
      </w:r>
      <w:r w:rsidRPr="00C04E71">
        <w:rPr>
          <w:rFonts w:ascii="Calibri" w:eastAsia="Calibri" w:hAnsi="Calibri"/>
          <w:i/>
          <w:lang w:eastAsia="en-US"/>
        </w:rPr>
        <w:t>, a odnose se na:</w:t>
      </w:r>
    </w:p>
    <w:p w:rsidR="00931CB5" w:rsidRPr="00C04E71" w:rsidRDefault="00931CB5" w:rsidP="00931CB5">
      <w:pPr>
        <w:numPr>
          <w:ilvl w:val="0"/>
          <w:numId w:val="2"/>
        </w:numPr>
        <w:spacing w:after="200" w:line="276" w:lineRule="auto"/>
        <w:contextualSpacing/>
        <w:jc w:val="both"/>
        <w:rPr>
          <w:rFonts w:ascii="Calibri" w:eastAsia="Calibri" w:hAnsi="Calibri"/>
          <w:lang w:eastAsia="en-US"/>
        </w:rPr>
      </w:pPr>
      <w:r w:rsidRPr="00C04E71">
        <w:rPr>
          <w:rFonts w:ascii="Calibri" w:eastAsia="Calibri" w:hAnsi="Calibri"/>
          <w:lang w:eastAsia="en-US"/>
        </w:rPr>
        <w:t>Rashode za zaposlene u iznosu od 607.095,00 eura.</w:t>
      </w:r>
    </w:p>
    <w:p w:rsidR="00931CB5" w:rsidRPr="00C04E71" w:rsidRDefault="00931CB5" w:rsidP="00931CB5">
      <w:pPr>
        <w:numPr>
          <w:ilvl w:val="0"/>
          <w:numId w:val="2"/>
        </w:numPr>
        <w:spacing w:after="200" w:line="276" w:lineRule="auto"/>
        <w:contextualSpacing/>
        <w:jc w:val="both"/>
        <w:rPr>
          <w:rFonts w:ascii="Calibri" w:eastAsia="Calibri" w:hAnsi="Calibri"/>
          <w:lang w:eastAsia="en-US"/>
        </w:rPr>
      </w:pPr>
      <w:r w:rsidRPr="00C04E71">
        <w:rPr>
          <w:rFonts w:ascii="Calibri" w:eastAsia="Calibri" w:hAnsi="Calibri"/>
          <w:lang w:eastAsia="en-US"/>
        </w:rPr>
        <w:t>materijalne rashode u iznosu od 141.601,78 eura.</w:t>
      </w:r>
    </w:p>
    <w:p w:rsidR="00931CB5" w:rsidRPr="00C04E71" w:rsidRDefault="00931CB5" w:rsidP="00931CB5">
      <w:pPr>
        <w:numPr>
          <w:ilvl w:val="0"/>
          <w:numId w:val="2"/>
        </w:numPr>
        <w:spacing w:after="200" w:line="276" w:lineRule="auto"/>
        <w:contextualSpacing/>
        <w:jc w:val="both"/>
        <w:rPr>
          <w:rFonts w:ascii="Calibri" w:eastAsia="Calibri" w:hAnsi="Calibri"/>
          <w:lang w:eastAsia="en-US"/>
        </w:rPr>
      </w:pPr>
      <w:r w:rsidRPr="00C04E71">
        <w:rPr>
          <w:rFonts w:ascii="Calibri" w:eastAsia="Calibri" w:hAnsi="Calibri"/>
          <w:lang w:eastAsia="en-US"/>
        </w:rPr>
        <w:t>financijske rashode u iznosu od 2.554,41 eura.</w:t>
      </w:r>
    </w:p>
    <w:p w:rsidR="00931CB5" w:rsidRDefault="00931CB5" w:rsidP="00931CB5">
      <w:pPr>
        <w:spacing w:line="276" w:lineRule="auto"/>
        <w:jc w:val="both"/>
        <w:rPr>
          <w:rFonts w:ascii="Calibri" w:eastAsia="Calibri" w:hAnsi="Calibri"/>
          <w:lang w:eastAsia="en-US"/>
        </w:rPr>
      </w:pPr>
      <w:r w:rsidRPr="00C04E71">
        <w:rPr>
          <w:rFonts w:ascii="Calibri" w:eastAsia="Calibri" w:hAnsi="Calibri"/>
          <w:lang w:eastAsia="en-US"/>
        </w:rPr>
        <w:t xml:space="preserve">U odnosu na prethodnu godinu vidljivo </w:t>
      </w:r>
      <w:r>
        <w:rPr>
          <w:rFonts w:ascii="Calibri" w:eastAsia="Calibri" w:hAnsi="Calibri"/>
          <w:lang w:eastAsia="en-US"/>
        </w:rPr>
        <w:t xml:space="preserve">nam je </w:t>
      </w:r>
      <w:r w:rsidRPr="00C04E71">
        <w:rPr>
          <w:rFonts w:ascii="Calibri" w:eastAsia="Calibri" w:hAnsi="Calibri"/>
          <w:b/>
          <w:lang w:eastAsia="en-US"/>
        </w:rPr>
        <w:t>povećanje rashoda za 22%.</w:t>
      </w:r>
      <w:r w:rsidRPr="00C04E71">
        <w:rPr>
          <w:rFonts w:ascii="Calibri" w:eastAsia="Calibri" w:hAnsi="Calibri"/>
          <w:lang w:eastAsia="en-US"/>
        </w:rPr>
        <w:t xml:space="preserve"> </w:t>
      </w:r>
    </w:p>
    <w:p w:rsidR="00931CB5" w:rsidRPr="004B4112" w:rsidRDefault="00931CB5" w:rsidP="00931CB5">
      <w:pPr>
        <w:spacing w:line="276" w:lineRule="auto"/>
        <w:jc w:val="both"/>
        <w:rPr>
          <w:rFonts w:ascii="Calibri" w:eastAsia="Calibri" w:hAnsi="Calibri"/>
          <w:lang w:eastAsia="en-US"/>
        </w:rPr>
      </w:pPr>
      <w:r w:rsidRPr="004B4112">
        <w:rPr>
          <w:rFonts w:ascii="Calibri" w:eastAsia="Calibri" w:hAnsi="Calibri"/>
          <w:b/>
          <w:lang w:eastAsia="en-US"/>
        </w:rPr>
        <w:t>Kod rashoda za zaposlene</w:t>
      </w:r>
      <w:r w:rsidRPr="004B4112">
        <w:rPr>
          <w:rFonts w:ascii="Calibri" w:eastAsia="Calibri" w:hAnsi="Calibri"/>
          <w:lang w:eastAsia="en-US"/>
        </w:rPr>
        <w:t xml:space="preserve"> je vidljivo najveće povećanje  te ono iznosi 136.213,04 eura što  je </w:t>
      </w:r>
      <w:r w:rsidRPr="004B4112">
        <w:rPr>
          <w:rFonts w:ascii="Calibri" w:eastAsia="Calibri" w:hAnsi="Calibri"/>
          <w:b/>
          <w:lang w:eastAsia="en-US"/>
        </w:rPr>
        <w:t>28,9%</w:t>
      </w:r>
      <w:r w:rsidRPr="004B4112">
        <w:rPr>
          <w:rFonts w:ascii="Calibri" w:eastAsia="Calibri" w:hAnsi="Calibri"/>
          <w:lang w:eastAsia="en-US"/>
        </w:rPr>
        <w:t xml:space="preserve"> više u odnosu na prethodnu godinu, a proizlazi iz povećanja osnovice za obračun plaća zaposlenika, od plaće za lipanj do plaće za prosinac isplaćuje se privremenog dodatka na plaću u bruto iznosu od </w:t>
      </w:r>
      <w:r w:rsidRPr="004B4112">
        <w:rPr>
          <w:rFonts w:ascii="Calibri" w:eastAsia="Calibri" w:hAnsi="Calibri"/>
          <w:bCs/>
          <w:lang w:eastAsia="en-US"/>
        </w:rPr>
        <w:t>98,17</w:t>
      </w:r>
      <w:r w:rsidRPr="004B4112">
        <w:rPr>
          <w:rFonts w:ascii="Calibri" w:eastAsia="Calibri" w:hAnsi="Calibri"/>
          <w:lang w:eastAsia="en-US"/>
        </w:rPr>
        <w:t xml:space="preserve"> eura mjesečno po zaposleniku, također dolazi i do povećanja božićnice s 232,26 eura na 300,00 eura i regresa sa 199,08 eura na 300,00 eura po zaposleniku. Prosječan broj zaposlenih je 28 osoba, dok je prosječan broj zaposlenih na osnovi sata rada 24 zaposlenika. U odnosu na prethodnu godinu dolazi do povećanja broja zaposlenika za 3,7%, te do povećanja satnica  što je vidljivo iz prosječnog broja zaposlenika na osnovi sata rada gdje dolazi do povećanja za 14,3%.</w:t>
      </w:r>
    </w:p>
    <w:p w:rsidR="00931CB5" w:rsidRPr="004B4112" w:rsidRDefault="00931CB5" w:rsidP="00931CB5">
      <w:pPr>
        <w:spacing w:line="276" w:lineRule="auto"/>
        <w:jc w:val="both"/>
        <w:rPr>
          <w:rFonts w:ascii="Calibri" w:eastAsia="Calibri" w:hAnsi="Calibri"/>
          <w:lang w:eastAsia="en-US"/>
        </w:rPr>
      </w:pPr>
    </w:p>
    <w:p w:rsidR="00931CB5" w:rsidRPr="004B4112" w:rsidRDefault="00931CB5" w:rsidP="00931CB5">
      <w:pPr>
        <w:spacing w:line="276" w:lineRule="auto"/>
        <w:jc w:val="both"/>
        <w:rPr>
          <w:rFonts w:ascii="Calibri" w:eastAsia="Calibri" w:hAnsi="Calibri"/>
          <w:lang w:eastAsia="en-US"/>
        </w:rPr>
      </w:pPr>
      <w:r w:rsidRPr="004B4112">
        <w:rPr>
          <w:rFonts w:ascii="Calibri" w:eastAsia="Calibri" w:hAnsi="Calibri"/>
          <w:b/>
          <w:lang w:eastAsia="en-US"/>
        </w:rPr>
        <w:t>Kod materijalnih rashoda</w:t>
      </w:r>
      <w:r w:rsidRPr="004B4112">
        <w:rPr>
          <w:rFonts w:ascii="Calibri" w:eastAsia="Calibri" w:hAnsi="Calibri"/>
          <w:lang w:eastAsia="en-US"/>
        </w:rPr>
        <w:t xml:space="preserve"> vidljivo je ukupno smanjenje rashoda u iznosu od 460,42 eura što je 0,3% manje u odnosu na prethodnu godinu. Gledajući kretanja pojedinačno najveća povećanja su vidljiva kod naknada troškova zaposlenima za službena putovanja za 109,7%, naknade troškova osobama izvan radnog odnosa (roditelji koji učenike vode na natjecanje) vidljivo je povećanje 127,1%, povećanje reprezentacije za 134,40%, te povećanje rashoda za članarine za 75,2%. Najveća smanjenja vidljiva su kod rashoda za nabavku uredskog materijala gdje smanjenje iznosi 57,7%, kod troškova nabavke sitnog inventara vidljivo je smanjenje za 53,60%,  trošak električne energije smanjen je za 17,6%, dok su usluge telefona, pošte i prijevoza smanjene za 32,10%. Ostale usluge koje se odnose na grafičke i tiskarske usluge, usluge kopiranja, film i izradu fotografija i sl. smanjene su za 59,30%.</w:t>
      </w:r>
    </w:p>
    <w:p w:rsidR="00931CB5" w:rsidRPr="004B4112" w:rsidRDefault="00931CB5" w:rsidP="00931CB5">
      <w:pPr>
        <w:spacing w:line="276" w:lineRule="auto"/>
        <w:jc w:val="both"/>
        <w:rPr>
          <w:rFonts w:ascii="Calibri" w:eastAsia="Calibri" w:hAnsi="Calibri"/>
          <w:lang w:eastAsia="en-US"/>
        </w:rPr>
      </w:pPr>
    </w:p>
    <w:p w:rsidR="00931CB5" w:rsidRDefault="00931CB5" w:rsidP="00931CB5">
      <w:pPr>
        <w:spacing w:line="276" w:lineRule="auto"/>
        <w:jc w:val="both"/>
        <w:rPr>
          <w:rFonts w:ascii="Calibri" w:eastAsia="Calibri" w:hAnsi="Calibri"/>
          <w:lang w:eastAsia="en-US"/>
        </w:rPr>
      </w:pPr>
      <w:r w:rsidRPr="004B4112">
        <w:rPr>
          <w:rFonts w:ascii="Calibri" w:eastAsia="Calibri" w:hAnsi="Calibri"/>
          <w:b/>
          <w:lang w:eastAsia="en-US"/>
        </w:rPr>
        <w:t>Kod financijskih rashoda</w:t>
      </w:r>
      <w:r w:rsidRPr="004B4112">
        <w:rPr>
          <w:rFonts w:ascii="Calibri" w:eastAsia="Calibri" w:hAnsi="Calibri"/>
          <w:lang w:eastAsia="en-US"/>
        </w:rPr>
        <w:t xml:space="preserve"> vidljivo je ukupno smanjenje rashoda u iznosu od 918,84 eura, što je 26,5% smanjenje u odnosu na prethodnu godinu. Gledajući kretanja pojedinačno, vidljivo je smanjenje od 29,8% kod troškova zateznih kamata jer je u 2023. ukupno isplaćeno zateznih kamata po pravomoćne presudama po tužbama za 5 zaposlenika radi isplate razlike plaće po povoljnijoj osnovici za razdoblje prosinac 2015. do siječnja 2017. godine dok je u prethodnoj godini isplaćeno za 8 zaposlenika. Koda bankarskih usluga i usluga platnog dolazi do povećanja u iznosu od 5,1%.</w:t>
      </w:r>
    </w:p>
    <w:p w:rsidR="00841C8B" w:rsidRPr="00431677" w:rsidRDefault="00841C8B" w:rsidP="00841C8B">
      <w:pPr>
        <w:spacing w:line="276" w:lineRule="auto"/>
        <w:jc w:val="both"/>
        <w:rPr>
          <w:rFonts w:ascii="Calibri" w:eastAsia="Calibri" w:hAnsi="Calibri"/>
          <w:lang w:eastAsia="en-US"/>
        </w:rPr>
      </w:pPr>
      <w:r>
        <w:rPr>
          <w:rFonts w:ascii="Calibri" w:eastAsia="Calibri" w:hAnsi="Calibri"/>
          <w:lang w:eastAsia="en-US"/>
        </w:rPr>
        <w:t xml:space="preserve">Uspoređujući podatke rashoda 2023. godine s rashodima iz 2022. godine vidljivo nam je povećanje u iznosu od </w:t>
      </w:r>
      <w:r w:rsidR="00F926CF">
        <w:rPr>
          <w:rFonts w:ascii="Calibri" w:eastAsia="Calibri" w:hAnsi="Calibri"/>
          <w:lang w:eastAsia="en-US"/>
        </w:rPr>
        <w:t>134.834,00</w:t>
      </w:r>
      <w:r>
        <w:rPr>
          <w:rFonts w:ascii="Calibri" w:eastAsia="Calibri" w:hAnsi="Calibri"/>
          <w:lang w:eastAsia="en-US"/>
        </w:rPr>
        <w:t xml:space="preserve"> eura što je indeks povećanja od </w:t>
      </w:r>
      <w:r w:rsidR="00F926CF">
        <w:rPr>
          <w:rFonts w:ascii="Calibri" w:eastAsia="Calibri" w:hAnsi="Calibri"/>
          <w:lang w:eastAsia="en-US"/>
        </w:rPr>
        <w:t>23</w:t>
      </w:r>
      <w:r>
        <w:rPr>
          <w:rFonts w:ascii="Calibri" w:eastAsia="Calibri" w:hAnsi="Calibri"/>
          <w:lang w:eastAsia="en-US"/>
        </w:rPr>
        <w:t>%. Isto tako uspoređujući izvorni financijski plan 2023. godine i izvršenje 2023. godine vidljivo nam je povećanje od 2,</w:t>
      </w:r>
      <w:r w:rsidR="00F926CF">
        <w:rPr>
          <w:rFonts w:ascii="Calibri" w:eastAsia="Calibri" w:hAnsi="Calibri"/>
          <w:lang w:eastAsia="en-US"/>
        </w:rPr>
        <w:t>9</w:t>
      </w:r>
      <w:r>
        <w:rPr>
          <w:rFonts w:ascii="Calibri" w:eastAsia="Calibri" w:hAnsi="Calibri"/>
          <w:lang w:eastAsia="en-US"/>
        </w:rPr>
        <w:t>%, dok je u odnosu na rebalans 2023. realizacija manja za 3%.</w:t>
      </w:r>
    </w:p>
    <w:p w:rsidR="00841C8B" w:rsidRDefault="00841C8B" w:rsidP="00931CB5">
      <w:pPr>
        <w:spacing w:line="276" w:lineRule="auto"/>
        <w:jc w:val="both"/>
        <w:rPr>
          <w:rFonts w:ascii="Calibri" w:eastAsia="Calibri" w:hAnsi="Calibri"/>
          <w:lang w:eastAsia="en-US"/>
        </w:rPr>
      </w:pPr>
    </w:p>
    <w:p w:rsidR="00931CB5" w:rsidRDefault="00931CB5" w:rsidP="00931CB5">
      <w:pPr>
        <w:spacing w:line="276" w:lineRule="auto"/>
        <w:jc w:val="both"/>
        <w:rPr>
          <w:rFonts w:ascii="Calibri" w:eastAsia="Calibri" w:hAnsi="Calibri"/>
          <w:lang w:eastAsia="en-US"/>
        </w:rPr>
      </w:pPr>
    </w:p>
    <w:p w:rsidR="00841C8B" w:rsidRDefault="00841C8B" w:rsidP="00931CB5">
      <w:pPr>
        <w:spacing w:line="276" w:lineRule="auto"/>
        <w:jc w:val="both"/>
        <w:rPr>
          <w:rFonts w:ascii="Calibri" w:eastAsia="Calibri" w:hAnsi="Calibri"/>
          <w:lang w:eastAsia="en-US"/>
        </w:rPr>
      </w:pPr>
    </w:p>
    <w:p w:rsidR="00931CB5" w:rsidRPr="00C04E71" w:rsidRDefault="00931CB5" w:rsidP="00931CB5">
      <w:pPr>
        <w:spacing w:line="276" w:lineRule="auto"/>
        <w:rPr>
          <w:rFonts w:ascii="Calibri" w:eastAsia="Calibri" w:hAnsi="Calibri"/>
          <w:i/>
          <w:sz w:val="22"/>
          <w:szCs w:val="22"/>
          <w:lang w:eastAsia="en-US"/>
        </w:rPr>
      </w:pPr>
      <w:r w:rsidRPr="00C04E71">
        <w:rPr>
          <w:rFonts w:ascii="Calibri" w:eastAsia="Calibri" w:hAnsi="Calibri"/>
          <w:b/>
          <w:i/>
          <w:sz w:val="26"/>
          <w:szCs w:val="26"/>
          <w:lang w:eastAsia="en-US"/>
        </w:rPr>
        <w:lastRenderedPageBreak/>
        <w:t>Ukupni rashodi za nabavu nefinancijske imovine iznose 10.324,20 eura</w:t>
      </w:r>
      <w:r w:rsidRPr="00C04E71">
        <w:rPr>
          <w:rFonts w:ascii="Calibri" w:eastAsia="Calibri" w:hAnsi="Calibri"/>
          <w:i/>
          <w:sz w:val="22"/>
          <w:szCs w:val="22"/>
          <w:lang w:eastAsia="en-US"/>
        </w:rPr>
        <w:t>, a odnose se na:</w:t>
      </w:r>
    </w:p>
    <w:p w:rsidR="00931CB5" w:rsidRDefault="00931CB5" w:rsidP="00931CB5">
      <w:pPr>
        <w:spacing w:line="276" w:lineRule="auto"/>
        <w:rPr>
          <w:rFonts w:ascii="Calibri" w:eastAsia="Calibri" w:hAnsi="Calibri"/>
          <w:lang w:eastAsia="en-US"/>
        </w:rPr>
      </w:pPr>
      <w:r w:rsidRPr="00C04E71">
        <w:rPr>
          <w:rFonts w:ascii="Calibri" w:eastAsia="Calibri" w:hAnsi="Calibri"/>
          <w:lang w:eastAsia="en-US"/>
        </w:rPr>
        <w:t>Rashode za nabavu uredske opreme i namještaja u iznosu od 800,00 eura, opreme za održavanje i zaštitu u iznosu od 233,79 eura, te za rashode za nabavu glazbenih instrumenata u iznosu od 9.290,41 eura.</w:t>
      </w:r>
    </w:p>
    <w:p w:rsidR="00F926CF" w:rsidRPr="00431677" w:rsidRDefault="00F926CF" w:rsidP="00F926CF">
      <w:pPr>
        <w:spacing w:line="276" w:lineRule="auto"/>
        <w:jc w:val="both"/>
        <w:rPr>
          <w:rFonts w:ascii="Calibri" w:eastAsia="Calibri" w:hAnsi="Calibri"/>
          <w:lang w:eastAsia="en-US"/>
        </w:rPr>
      </w:pPr>
      <w:r>
        <w:rPr>
          <w:rFonts w:ascii="Calibri" w:eastAsia="Calibri" w:hAnsi="Calibri"/>
          <w:lang w:eastAsia="en-US"/>
        </w:rPr>
        <w:t>Uspoređujući podatke rashoda za nabavu nefinancijske imovine u 2023. godine s rashodima za nabavu nefinancijske imovine iz 2022. godine vidljivo nam je smanjenje u iznosu od 8.857,00 eura što je smanjenja od 46%. Isto tako uspoređujući izvorni financijski plan 2023. godine i izvršenje 2023. godine vidljivo nam je smanjenje od 20,5%, dok je u odnosu na rebalans 2023. realizacija manja za 9 %.</w:t>
      </w:r>
    </w:p>
    <w:p w:rsidR="00F926CF" w:rsidRPr="00C04E71" w:rsidRDefault="00F926CF" w:rsidP="00931CB5">
      <w:pPr>
        <w:spacing w:line="276" w:lineRule="auto"/>
        <w:rPr>
          <w:rFonts w:ascii="Calibri" w:eastAsia="Calibri" w:hAnsi="Calibri"/>
          <w:lang w:eastAsia="en-US"/>
        </w:rPr>
      </w:pPr>
    </w:p>
    <w:p w:rsidR="00F926CF" w:rsidRDefault="00931CB5" w:rsidP="00931CB5">
      <w:pPr>
        <w:spacing w:line="276" w:lineRule="auto"/>
        <w:rPr>
          <w:rFonts w:ascii="Calibri" w:eastAsia="Calibri" w:hAnsi="Calibri"/>
          <w:lang w:eastAsia="en-US"/>
        </w:rPr>
      </w:pPr>
      <w:r w:rsidRPr="00C04E71">
        <w:rPr>
          <w:rFonts w:ascii="Calibri" w:eastAsia="Calibri" w:hAnsi="Calibri"/>
          <w:b/>
          <w:i/>
          <w:lang w:eastAsia="en-US"/>
        </w:rPr>
        <w:t>Višak prihoda i primitaka raspoloživ u sljedećem razdoblju</w:t>
      </w:r>
      <w:r w:rsidRPr="00C04E71">
        <w:rPr>
          <w:rFonts w:ascii="Calibri" w:eastAsia="Calibri" w:hAnsi="Calibri"/>
          <w:lang w:eastAsia="en-US"/>
        </w:rPr>
        <w:t xml:space="preserve"> iznosi 6.824,54 eura što je </w:t>
      </w:r>
      <w:r>
        <w:rPr>
          <w:rFonts w:ascii="Calibri" w:eastAsia="Calibri" w:hAnsi="Calibri"/>
          <w:lang w:eastAsia="en-US"/>
        </w:rPr>
        <w:t>10</w:t>
      </w:r>
      <w:r w:rsidRPr="00C04E71">
        <w:rPr>
          <w:rFonts w:ascii="Calibri" w:eastAsia="Calibri" w:hAnsi="Calibri"/>
          <w:lang w:eastAsia="en-US"/>
        </w:rPr>
        <w:t>% više u odnosu na prethodnu godinu, sadržan je od viška prihoda od donacija za projekte „Klarinetske klase“ u iznosu od 400,00 eura što će biti utrošeno kroz lipanj 2024., te od viška  prihoda za posebne namjene u iznosu od 6.424,54 eura koji će biti utrošeni za nabavku instrumenata.</w:t>
      </w:r>
    </w:p>
    <w:p w:rsidR="00931CB5" w:rsidRDefault="00931CB5" w:rsidP="00931CB5">
      <w:pPr>
        <w:spacing w:line="276" w:lineRule="auto"/>
      </w:pPr>
      <w:r>
        <w:t>Novac u banci i blagajni na dan 31.12.2023. iznosi 8.942,36 eura</w:t>
      </w:r>
    </w:p>
    <w:p w:rsidR="00C76B8A" w:rsidRDefault="00C76B8A" w:rsidP="00931CB5">
      <w:pPr>
        <w:spacing w:line="276" w:lineRule="auto"/>
      </w:pPr>
    </w:p>
    <w:p w:rsidR="00C76B8A" w:rsidRDefault="00C76B8A" w:rsidP="00931CB5">
      <w:pPr>
        <w:spacing w:line="276" w:lineRule="auto"/>
      </w:pPr>
    </w:p>
    <w:p w:rsidR="00C76B8A" w:rsidRDefault="00C76B8A" w:rsidP="00931CB5">
      <w:pPr>
        <w:spacing w:line="276" w:lineRule="auto"/>
      </w:pPr>
    </w:p>
    <w:p w:rsidR="00C76B8A" w:rsidRDefault="00C76B8A" w:rsidP="00931CB5">
      <w:pPr>
        <w:spacing w:line="276" w:lineRule="auto"/>
      </w:pPr>
    </w:p>
    <w:p w:rsidR="00C76B8A" w:rsidRDefault="00C76B8A" w:rsidP="00931CB5">
      <w:pPr>
        <w:spacing w:line="276" w:lineRule="auto"/>
      </w:pPr>
    </w:p>
    <w:p w:rsidR="00931CB5" w:rsidRPr="00931CB5" w:rsidRDefault="00931CB5" w:rsidP="00931CB5">
      <w:pPr>
        <w:jc w:val="center"/>
        <w:rPr>
          <w:b/>
          <w:sz w:val="28"/>
          <w:szCs w:val="28"/>
        </w:rPr>
      </w:pPr>
      <w:r w:rsidRPr="00931CB5">
        <w:rPr>
          <w:b/>
          <w:sz w:val="28"/>
          <w:szCs w:val="28"/>
        </w:rPr>
        <w:t>II. POSEBNI DIO</w:t>
      </w:r>
    </w:p>
    <w:p w:rsidR="00931CB5" w:rsidRDefault="00931CB5" w:rsidP="00931CB5">
      <w:pPr>
        <w:jc w:val="center"/>
        <w:rPr>
          <w:b/>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075"/>
        <w:gridCol w:w="928"/>
        <w:gridCol w:w="1083"/>
        <w:gridCol w:w="1017"/>
        <w:gridCol w:w="1083"/>
        <w:gridCol w:w="553"/>
        <w:gridCol w:w="553"/>
      </w:tblGrid>
      <w:tr w:rsidR="00931CB5" w:rsidRPr="003A3C1D" w:rsidTr="00A0456C">
        <w:trPr>
          <w:gridAfter w:val="1"/>
          <w:trHeight w:val="517"/>
        </w:trPr>
        <w:tc>
          <w:tcPr>
            <w:tcW w:w="2220" w:type="dxa"/>
            <w:shd w:val="clear" w:color="auto" w:fill="D9D9D9"/>
          </w:tcPr>
          <w:p w:rsidR="00931CB5" w:rsidRPr="003A3C1D" w:rsidRDefault="00931CB5" w:rsidP="00A0456C">
            <w:pPr>
              <w:rPr>
                <w:b/>
                <w:bCs/>
                <w:color w:val="000000"/>
              </w:rPr>
            </w:pPr>
            <w:r w:rsidRPr="003A3C1D">
              <w:rPr>
                <w:b/>
                <w:bCs/>
                <w:color w:val="000000"/>
              </w:rPr>
              <w:t>Aktivnost</w:t>
            </w:r>
            <w:r>
              <w:rPr>
                <w:b/>
                <w:bCs/>
                <w:color w:val="000000"/>
              </w:rPr>
              <w:t>/ Projekt</w:t>
            </w:r>
            <w:r w:rsidRPr="003A3C1D">
              <w:rPr>
                <w:b/>
                <w:bCs/>
                <w:color w:val="000000"/>
              </w:rPr>
              <w:t>:</w:t>
            </w:r>
          </w:p>
        </w:tc>
        <w:tc>
          <w:tcPr>
            <w:tcW w:w="2003" w:type="dxa"/>
            <w:gridSpan w:val="2"/>
            <w:shd w:val="clear" w:color="auto" w:fill="auto"/>
          </w:tcPr>
          <w:p w:rsidR="00931CB5" w:rsidRPr="005E3C13" w:rsidRDefault="00931CB5" w:rsidP="00A0456C">
            <w:pPr>
              <w:rPr>
                <w:b/>
                <w:bCs/>
                <w:color w:val="000000"/>
              </w:rPr>
            </w:pPr>
            <w:r>
              <w:rPr>
                <w:b/>
                <w:bCs/>
                <w:color w:val="000000"/>
              </w:rPr>
              <w:t>A00</w:t>
            </w:r>
            <w:r w:rsidRPr="002134F9">
              <w:rPr>
                <w:b/>
                <w:bCs/>
                <w:color w:val="000000"/>
              </w:rPr>
              <w:t>4001A400103</w:t>
            </w:r>
          </w:p>
        </w:tc>
        <w:tc>
          <w:tcPr>
            <w:tcW w:w="5065" w:type="dxa"/>
            <w:gridSpan w:val="4"/>
            <w:shd w:val="clear" w:color="auto" w:fill="auto"/>
          </w:tcPr>
          <w:p w:rsidR="00931CB5" w:rsidRDefault="00931CB5" w:rsidP="00A0456C">
            <w:pPr>
              <w:rPr>
                <w:b/>
                <w:bCs/>
                <w:color w:val="000000"/>
              </w:rPr>
            </w:pPr>
            <w:r>
              <w:rPr>
                <w:b/>
                <w:bCs/>
                <w:color w:val="000000"/>
              </w:rPr>
              <w:t>Natjecanje, manifestacije i ostalo</w:t>
            </w:r>
          </w:p>
          <w:p w:rsidR="00931CB5" w:rsidRPr="005E3C13" w:rsidRDefault="00931CB5" w:rsidP="00A0456C">
            <w:pPr>
              <w:rPr>
                <w:b/>
                <w:bCs/>
                <w:color w:val="000000"/>
              </w:rPr>
            </w:pPr>
          </w:p>
        </w:tc>
      </w:tr>
      <w:tr w:rsidR="00931CB5" w:rsidRPr="003A3C1D" w:rsidTr="00A0456C">
        <w:trPr>
          <w:gridAfter w:val="1"/>
          <w:trHeight w:val="517"/>
        </w:trPr>
        <w:tc>
          <w:tcPr>
            <w:tcW w:w="2220" w:type="dxa"/>
            <w:shd w:val="clear" w:color="auto" w:fill="D9D9D9"/>
          </w:tcPr>
          <w:p w:rsidR="00931CB5" w:rsidRPr="00AC2C3E" w:rsidRDefault="00931CB5" w:rsidP="00A0456C">
            <w:pPr>
              <w:rPr>
                <w:b/>
                <w:bCs/>
                <w:color w:val="000000"/>
                <w:sz w:val="22"/>
                <w:szCs w:val="22"/>
              </w:rPr>
            </w:pPr>
            <w:r w:rsidRPr="00AC2C3E">
              <w:rPr>
                <w:b/>
                <w:bCs/>
                <w:color w:val="000000"/>
                <w:sz w:val="22"/>
                <w:szCs w:val="22"/>
              </w:rPr>
              <w:t>Zakonska i druga pravna osnova:</w:t>
            </w:r>
          </w:p>
        </w:tc>
        <w:tc>
          <w:tcPr>
            <w:tcW w:w="7068" w:type="dxa"/>
            <w:gridSpan w:val="6"/>
            <w:shd w:val="clear" w:color="auto" w:fill="auto"/>
          </w:tcPr>
          <w:p w:rsidR="00931CB5" w:rsidRPr="0002314B" w:rsidRDefault="00931CB5" w:rsidP="00A0456C">
            <w:pPr>
              <w:rPr>
                <w:rFonts w:eastAsia="Symbol"/>
                <w:color w:val="000000"/>
                <w:lang w:val="pl-PL"/>
              </w:rPr>
            </w:pPr>
            <w:r w:rsidRPr="0002314B">
              <w:rPr>
                <w:rFonts w:eastAsia="Symbol"/>
                <w:color w:val="000000"/>
                <w:lang w:val="pl-PL"/>
              </w:rPr>
              <w:t>Djelatnost osnovnog  odgoja i obrazovanja ostvaruje se u skladu s odredbama:</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 o odgoju i obrazovanju u osnovnoj i srednjoj školi  </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Zakona o ustanovama </w:t>
            </w:r>
          </w:p>
          <w:p w:rsidR="00931CB5" w:rsidRPr="0002314B" w:rsidRDefault="00931CB5" w:rsidP="00931CB5">
            <w:pPr>
              <w:numPr>
                <w:ilvl w:val="0"/>
                <w:numId w:val="3"/>
              </w:numPr>
              <w:rPr>
                <w:rFonts w:eastAsia="Symbol"/>
                <w:color w:val="000000"/>
                <w:lang w:val="pl-PL"/>
              </w:rPr>
            </w:pPr>
            <w:r w:rsidRPr="0002314B">
              <w:rPr>
                <w:rFonts w:eastAsia="Symbol"/>
                <w:color w:val="000000"/>
              </w:rPr>
              <w:t>Zakona o umjetničkom obrazovanju</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Godišnji plan  i program rada škole za školsku godinu 2022./2023.</w:t>
            </w:r>
            <w:r>
              <w:rPr>
                <w:rFonts w:eastAsia="Symbol"/>
                <w:color w:val="000000"/>
                <w:lang w:val="pl-PL"/>
              </w:rPr>
              <w:t>¸2023./2024.</w:t>
            </w:r>
          </w:p>
          <w:p w:rsidR="00931CB5" w:rsidRPr="0002314B" w:rsidRDefault="00931CB5" w:rsidP="00931CB5">
            <w:pPr>
              <w:numPr>
                <w:ilvl w:val="0"/>
                <w:numId w:val="3"/>
              </w:numPr>
              <w:rPr>
                <w:rFonts w:eastAsia="Symbol"/>
                <w:i/>
                <w:color w:val="000000"/>
                <w:lang w:val="pl-PL"/>
              </w:rPr>
            </w:pPr>
            <w:r w:rsidRPr="0002314B">
              <w:rPr>
                <w:rFonts w:eastAsia="Symbol"/>
                <w:color w:val="000000"/>
                <w:lang w:val="pl-PL"/>
              </w:rPr>
              <w:t>Kurikulum škole za školsku godinu 2022./2023.</w:t>
            </w:r>
            <w:r>
              <w:rPr>
                <w:rFonts w:eastAsia="Symbol"/>
                <w:color w:val="000000"/>
                <w:lang w:val="pl-PL"/>
              </w:rPr>
              <w:t>, 2023./2024.</w:t>
            </w:r>
          </w:p>
          <w:p w:rsidR="00931CB5" w:rsidRPr="003A3C1D" w:rsidRDefault="00931CB5" w:rsidP="00A0456C">
            <w:pPr>
              <w:rPr>
                <w:rFonts w:eastAsia="Symbol"/>
                <w:color w:val="000000"/>
                <w:lang w:val="pl-PL"/>
              </w:rPr>
            </w:pPr>
            <w:r w:rsidRPr="0002314B">
              <w:rPr>
                <w:rFonts w:eastAsia="Symbol"/>
                <w:color w:val="000000"/>
                <w:lang w:val="pl-PL"/>
              </w:rPr>
              <w:t>Uputa SDŽ za izradu izmjena i dopuna Proračuna Splitsko-dalmatinske županije</w:t>
            </w:r>
          </w:p>
        </w:tc>
      </w:tr>
      <w:tr w:rsidR="00931CB5" w:rsidRPr="003A3C1D" w:rsidTr="00A0456C">
        <w:trPr>
          <w:gridAfter w:val="1"/>
          <w:trHeight w:val="257"/>
        </w:trPr>
        <w:tc>
          <w:tcPr>
            <w:tcW w:w="2220" w:type="dxa"/>
            <w:shd w:val="clear" w:color="auto" w:fill="D9D9D9"/>
          </w:tcPr>
          <w:p w:rsidR="00931CB5" w:rsidRPr="00AC2C3E" w:rsidRDefault="00931CB5" w:rsidP="00A0456C">
            <w:pPr>
              <w:rPr>
                <w:b/>
                <w:bCs/>
                <w:color w:val="000000"/>
                <w:sz w:val="22"/>
                <w:szCs w:val="22"/>
              </w:rPr>
            </w:pPr>
            <w:r w:rsidRPr="00AC2C3E">
              <w:rPr>
                <w:b/>
                <w:bCs/>
                <w:color w:val="000000"/>
                <w:sz w:val="22"/>
                <w:szCs w:val="22"/>
              </w:rPr>
              <w:t xml:space="preserve">Opis aktivnosti / projekta </w:t>
            </w:r>
          </w:p>
        </w:tc>
        <w:tc>
          <w:tcPr>
            <w:tcW w:w="7068" w:type="dxa"/>
            <w:gridSpan w:val="6"/>
            <w:shd w:val="clear" w:color="auto" w:fill="auto"/>
          </w:tcPr>
          <w:p w:rsidR="00931CB5" w:rsidRPr="00E82623" w:rsidRDefault="00931CB5" w:rsidP="00A0456C">
            <w:pPr>
              <w:jc w:val="both"/>
              <w:rPr>
                <w:bCs/>
                <w:color w:val="000000"/>
              </w:rPr>
            </w:pPr>
            <w:r>
              <w:rPr>
                <w:bCs/>
                <w:color w:val="000000"/>
              </w:rPr>
              <w:t>A</w:t>
            </w:r>
            <w:r w:rsidRPr="00E82623">
              <w:rPr>
                <w:bCs/>
                <w:color w:val="000000"/>
              </w:rPr>
              <w:t>kt</w:t>
            </w:r>
            <w:r>
              <w:rPr>
                <w:bCs/>
                <w:color w:val="000000"/>
              </w:rPr>
              <w:t>ivnost</w:t>
            </w:r>
            <w:r w:rsidRPr="00E82623">
              <w:rPr>
                <w:bCs/>
                <w:color w:val="000000"/>
              </w:rPr>
              <w:t xml:space="preserve"> škole je podizanje kvalitete znanja i vještina naših učenika te</w:t>
            </w:r>
          </w:p>
          <w:p w:rsidR="00931CB5" w:rsidRPr="00E82623" w:rsidRDefault="00931CB5" w:rsidP="00A0456C">
            <w:pPr>
              <w:jc w:val="both"/>
              <w:rPr>
                <w:bCs/>
                <w:color w:val="000000"/>
              </w:rPr>
            </w:pPr>
            <w:r w:rsidRPr="00E82623">
              <w:rPr>
                <w:bCs/>
                <w:color w:val="000000"/>
              </w:rPr>
              <w:t>prezentiranje škole</w:t>
            </w:r>
          </w:p>
          <w:p w:rsidR="00931CB5" w:rsidRPr="00E82623" w:rsidRDefault="00931CB5" w:rsidP="00A0456C">
            <w:pPr>
              <w:jc w:val="both"/>
              <w:rPr>
                <w:bCs/>
                <w:color w:val="000000"/>
              </w:rPr>
            </w:pPr>
            <w:r w:rsidRPr="00E82623">
              <w:rPr>
                <w:bCs/>
                <w:color w:val="000000"/>
              </w:rPr>
              <w:t>- nositelji aktivnosti su nastavnici i učenici škole</w:t>
            </w:r>
          </w:p>
          <w:p w:rsidR="00931CB5" w:rsidRPr="00E82623" w:rsidRDefault="00931CB5" w:rsidP="00A0456C">
            <w:pPr>
              <w:jc w:val="both"/>
              <w:rPr>
                <w:bCs/>
                <w:color w:val="000000"/>
              </w:rPr>
            </w:pPr>
            <w:r w:rsidRPr="00E82623">
              <w:rPr>
                <w:bCs/>
                <w:color w:val="000000"/>
              </w:rPr>
              <w:t>- financiranje iz prihoda za posebne namjene, donacija, nadležnog proračuna te</w:t>
            </w:r>
          </w:p>
          <w:p w:rsidR="00931CB5" w:rsidRPr="00E82623" w:rsidRDefault="00931CB5" w:rsidP="00A0456C">
            <w:pPr>
              <w:jc w:val="both"/>
              <w:rPr>
                <w:bCs/>
                <w:color w:val="000000"/>
              </w:rPr>
            </w:pPr>
            <w:r w:rsidRPr="00E82623">
              <w:rPr>
                <w:bCs/>
                <w:color w:val="000000"/>
              </w:rPr>
              <w:t>tekuće pomoći iz proračuna koji nam nije nadležan</w:t>
            </w:r>
          </w:p>
          <w:p w:rsidR="00931CB5" w:rsidRDefault="00931CB5" w:rsidP="00A0456C">
            <w:pPr>
              <w:jc w:val="both"/>
              <w:rPr>
                <w:bCs/>
                <w:color w:val="000000"/>
              </w:rPr>
            </w:pPr>
            <w:r w:rsidRPr="00E82623">
              <w:rPr>
                <w:bCs/>
                <w:color w:val="000000"/>
              </w:rPr>
              <w:lastRenderedPageBreak/>
              <w:t>- aktivnosti će se vrednovati putem ostvarenih rezultata na predviđenim</w:t>
            </w:r>
            <w:r>
              <w:rPr>
                <w:bCs/>
                <w:color w:val="000000"/>
              </w:rPr>
              <w:t xml:space="preserve"> </w:t>
            </w:r>
            <w:r w:rsidRPr="00E82623">
              <w:rPr>
                <w:bCs/>
                <w:color w:val="000000"/>
              </w:rPr>
              <w:t>akti</w:t>
            </w:r>
            <w:r>
              <w:rPr>
                <w:bCs/>
                <w:color w:val="000000"/>
              </w:rPr>
              <w:t>vnostima škole tijekom</w:t>
            </w:r>
            <w:r w:rsidRPr="00E82623">
              <w:rPr>
                <w:bCs/>
                <w:color w:val="000000"/>
              </w:rPr>
              <w:t xml:space="preserve"> godine</w:t>
            </w:r>
            <w:r>
              <w:rPr>
                <w:bCs/>
                <w:color w:val="000000"/>
              </w:rPr>
              <w:t>.</w:t>
            </w:r>
          </w:p>
          <w:p w:rsidR="00931CB5" w:rsidRPr="00F67CEB" w:rsidRDefault="00931CB5" w:rsidP="00931CB5">
            <w:pPr>
              <w:numPr>
                <w:ilvl w:val="0"/>
                <w:numId w:val="5"/>
              </w:numPr>
              <w:jc w:val="both"/>
              <w:rPr>
                <w:bCs/>
                <w:color w:val="000000"/>
              </w:rPr>
            </w:pPr>
            <w:r w:rsidRPr="00F67CEB">
              <w:rPr>
                <w:bCs/>
                <w:color w:val="000000"/>
              </w:rPr>
              <w:t>Glazba za najmlađe, koncerti OGŠ Lovro pl. Matačić Omiš za polaznike vrtića i redovnih osnovnih škola na području Grada Omiša, Općine Dugi Rat, Podstrana, Šestanovac</w:t>
            </w:r>
          </w:p>
          <w:p w:rsidR="00931CB5" w:rsidRPr="00F67CEB" w:rsidRDefault="00931CB5" w:rsidP="00931CB5">
            <w:pPr>
              <w:numPr>
                <w:ilvl w:val="0"/>
                <w:numId w:val="5"/>
              </w:numPr>
              <w:jc w:val="both"/>
              <w:rPr>
                <w:bCs/>
                <w:color w:val="000000"/>
              </w:rPr>
            </w:pPr>
            <w:r w:rsidRPr="00F67CEB">
              <w:rPr>
                <w:bCs/>
                <w:color w:val="000000"/>
              </w:rPr>
              <w:t>Školsko natjecanje</w:t>
            </w:r>
          </w:p>
          <w:p w:rsidR="00931CB5" w:rsidRPr="00F67CEB" w:rsidRDefault="00931CB5" w:rsidP="00931CB5">
            <w:pPr>
              <w:numPr>
                <w:ilvl w:val="0"/>
                <w:numId w:val="5"/>
              </w:numPr>
              <w:jc w:val="both"/>
              <w:rPr>
                <w:bCs/>
                <w:color w:val="000000"/>
              </w:rPr>
            </w:pPr>
            <w:r w:rsidRPr="00F67CEB">
              <w:rPr>
                <w:bCs/>
                <w:color w:val="000000"/>
              </w:rPr>
              <w:t>Blagdanski koncerti</w:t>
            </w:r>
          </w:p>
          <w:p w:rsidR="00931CB5" w:rsidRPr="00F67CEB" w:rsidRDefault="00931CB5" w:rsidP="00931CB5">
            <w:pPr>
              <w:numPr>
                <w:ilvl w:val="0"/>
                <w:numId w:val="5"/>
              </w:numPr>
              <w:jc w:val="both"/>
              <w:rPr>
                <w:bCs/>
                <w:color w:val="000000"/>
              </w:rPr>
            </w:pPr>
            <w:r w:rsidRPr="00F67CEB">
              <w:rPr>
                <w:bCs/>
                <w:color w:val="000000"/>
              </w:rPr>
              <w:t>Natjecanje i smotre učenika: ŠKOLSKO, REGIONALNO, DRŽAVNO I MEĐUNARODNO</w:t>
            </w:r>
          </w:p>
          <w:p w:rsidR="00931CB5" w:rsidRPr="00F67CEB" w:rsidRDefault="00931CB5" w:rsidP="00931CB5">
            <w:pPr>
              <w:numPr>
                <w:ilvl w:val="0"/>
                <w:numId w:val="5"/>
              </w:numPr>
              <w:jc w:val="both"/>
              <w:rPr>
                <w:bCs/>
                <w:color w:val="000000"/>
              </w:rPr>
            </w:pPr>
            <w:r w:rsidRPr="00F67CEB">
              <w:rPr>
                <w:bCs/>
                <w:color w:val="000000"/>
              </w:rPr>
              <w:t>Susret</w:t>
            </w:r>
            <w:r>
              <w:rPr>
                <w:bCs/>
                <w:color w:val="000000"/>
              </w:rPr>
              <w:t>i oboa Omiš/Zagreb</w:t>
            </w:r>
          </w:p>
          <w:p w:rsidR="00931CB5" w:rsidRPr="00F67CEB" w:rsidRDefault="00931CB5" w:rsidP="00931CB5">
            <w:pPr>
              <w:numPr>
                <w:ilvl w:val="0"/>
                <w:numId w:val="5"/>
              </w:numPr>
              <w:jc w:val="both"/>
              <w:rPr>
                <w:bCs/>
                <w:color w:val="000000"/>
              </w:rPr>
            </w:pPr>
            <w:r w:rsidRPr="00F67CEB">
              <w:rPr>
                <w:bCs/>
                <w:color w:val="000000"/>
              </w:rPr>
              <w:t>Seminari za učenike</w:t>
            </w:r>
          </w:p>
          <w:p w:rsidR="00931CB5" w:rsidRPr="00F67CEB" w:rsidRDefault="00931CB5" w:rsidP="00931CB5">
            <w:pPr>
              <w:numPr>
                <w:ilvl w:val="0"/>
                <w:numId w:val="5"/>
              </w:numPr>
              <w:jc w:val="both"/>
              <w:rPr>
                <w:bCs/>
                <w:color w:val="000000"/>
              </w:rPr>
            </w:pPr>
            <w:r w:rsidRPr="00F67CEB">
              <w:rPr>
                <w:bCs/>
                <w:color w:val="000000"/>
              </w:rPr>
              <w:t>Suradnja s drugim školama izvan Hrvatske</w:t>
            </w:r>
          </w:p>
          <w:p w:rsidR="00931CB5" w:rsidRPr="00F67CEB" w:rsidRDefault="00931CB5" w:rsidP="00931CB5">
            <w:pPr>
              <w:numPr>
                <w:ilvl w:val="0"/>
                <w:numId w:val="5"/>
              </w:numPr>
              <w:jc w:val="both"/>
              <w:rPr>
                <w:bCs/>
                <w:color w:val="000000"/>
              </w:rPr>
            </w:pPr>
            <w:r w:rsidRPr="00F67CEB">
              <w:rPr>
                <w:bCs/>
                <w:color w:val="000000"/>
              </w:rPr>
              <w:t>Suradnja s drugim školama iz Hrvatske</w:t>
            </w:r>
          </w:p>
          <w:p w:rsidR="00931CB5" w:rsidRDefault="00931CB5" w:rsidP="00931CB5">
            <w:pPr>
              <w:numPr>
                <w:ilvl w:val="0"/>
                <w:numId w:val="5"/>
              </w:numPr>
              <w:jc w:val="both"/>
              <w:rPr>
                <w:bCs/>
                <w:color w:val="000000"/>
              </w:rPr>
            </w:pPr>
            <w:r w:rsidRPr="00F67CEB">
              <w:rPr>
                <w:bCs/>
                <w:color w:val="000000"/>
              </w:rPr>
              <w:t>Dani otvorenih vrata</w:t>
            </w:r>
          </w:p>
          <w:p w:rsidR="00931CB5" w:rsidRDefault="00931CB5" w:rsidP="00931CB5">
            <w:pPr>
              <w:numPr>
                <w:ilvl w:val="0"/>
                <w:numId w:val="5"/>
              </w:numPr>
              <w:jc w:val="both"/>
              <w:rPr>
                <w:bCs/>
                <w:color w:val="000000"/>
              </w:rPr>
            </w:pPr>
            <w:r>
              <w:rPr>
                <w:bCs/>
                <w:color w:val="000000"/>
              </w:rPr>
              <w:t>Dani Osnovne glazbene škole Lovro pl. Matačić Omiš</w:t>
            </w:r>
          </w:p>
          <w:p w:rsidR="00931CB5" w:rsidRPr="00F67CEB" w:rsidRDefault="00931CB5" w:rsidP="00931CB5">
            <w:pPr>
              <w:numPr>
                <w:ilvl w:val="0"/>
                <w:numId w:val="5"/>
              </w:numPr>
              <w:jc w:val="both"/>
              <w:rPr>
                <w:bCs/>
                <w:color w:val="000000"/>
              </w:rPr>
            </w:pPr>
            <w:r>
              <w:rPr>
                <w:bCs/>
                <w:color w:val="000000"/>
              </w:rPr>
              <w:t>Svečani koncerti povodom Dana Grada</w:t>
            </w:r>
          </w:p>
          <w:p w:rsidR="00931CB5" w:rsidRPr="00F67CEB" w:rsidRDefault="00931CB5" w:rsidP="00931CB5">
            <w:pPr>
              <w:numPr>
                <w:ilvl w:val="0"/>
                <w:numId w:val="5"/>
              </w:numPr>
              <w:jc w:val="both"/>
              <w:rPr>
                <w:bCs/>
                <w:color w:val="000000"/>
              </w:rPr>
            </w:pPr>
            <w:r w:rsidRPr="00F67CEB">
              <w:rPr>
                <w:bCs/>
                <w:color w:val="000000"/>
              </w:rPr>
              <w:t>Stručni skup Oboista Republike Hrvatske</w:t>
            </w:r>
          </w:p>
          <w:p w:rsidR="00931CB5" w:rsidRPr="00F67CEB" w:rsidRDefault="00931CB5" w:rsidP="00931CB5">
            <w:pPr>
              <w:numPr>
                <w:ilvl w:val="0"/>
                <w:numId w:val="5"/>
              </w:numPr>
              <w:jc w:val="both"/>
              <w:rPr>
                <w:bCs/>
                <w:color w:val="000000"/>
              </w:rPr>
            </w:pPr>
            <w:r w:rsidRPr="00F67CEB">
              <w:rPr>
                <w:bCs/>
                <w:color w:val="000000"/>
              </w:rPr>
              <w:t>Posjet kazalištu i drugim ustanovama u kulturi</w:t>
            </w:r>
          </w:p>
          <w:p w:rsidR="00931CB5" w:rsidRDefault="00931CB5" w:rsidP="00931CB5">
            <w:pPr>
              <w:numPr>
                <w:ilvl w:val="0"/>
                <w:numId w:val="5"/>
              </w:numPr>
              <w:jc w:val="both"/>
              <w:rPr>
                <w:bCs/>
                <w:color w:val="000000"/>
              </w:rPr>
            </w:pPr>
            <w:r>
              <w:rPr>
                <w:bCs/>
                <w:color w:val="000000"/>
              </w:rPr>
              <w:t>Pjevački festival „WE WILL ROCK YOU“</w:t>
            </w:r>
          </w:p>
          <w:p w:rsidR="00931CB5" w:rsidRDefault="00931CB5" w:rsidP="00931CB5">
            <w:pPr>
              <w:numPr>
                <w:ilvl w:val="0"/>
                <w:numId w:val="5"/>
              </w:numPr>
              <w:jc w:val="both"/>
              <w:rPr>
                <w:bCs/>
                <w:color w:val="000000"/>
              </w:rPr>
            </w:pPr>
            <w:r>
              <w:rPr>
                <w:bCs/>
                <w:color w:val="000000"/>
              </w:rPr>
              <w:t>Crno-bijeli maraton</w:t>
            </w:r>
          </w:p>
          <w:p w:rsidR="00931CB5" w:rsidRDefault="00931CB5" w:rsidP="00931CB5">
            <w:pPr>
              <w:numPr>
                <w:ilvl w:val="0"/>
                <w:numId w:val="5"/>
              </w:numPr>
              <w:jc w:val="both"/>
              <w:rPr>
                <w:bCs/>
                <w:color w:val="000000"/>
              </w:rPr>
            </w:pPr>
            <w:r>
              <w:rPr>
                <w:bCs/>
                <w:color w:val="000000"/>
              </w:rPr>
              <w:t>Smotra puhača</w:t>
            </w:r>
          </w:p>
          <w:p w:rsidR="00931CB5" w:rsidRDefault="00931CB5" w:rsidP="00931CB5">
            <w:pPr>
              <w:numPr>
                <w:ilvl w:val="0"/>
                <w:numId w:val="5"/>
              </w:numPr>
              <w:jc w:val="both"/>
              <w:rPr>
                <w:bCs/>
                <w:color w:val="000000"/>
              </w:rPr>
            </w:pPr>
            <w:r>
              <w:rPr>
                <w:bCs/>
                <w:color w:val="000000"/>
              </w:rPr>
              <w:t>Koncert pod maskama</w:t>
            </w:r>
          </w:p>
          <w:p w:rsidR="00931CB5" w:rsidRPr="00CD1319" w:rsidRDefault="00931CB5" w:rsidP="00931CB5">
            <w:pPr>
              <w:numPr>
                <w:ilvl w:val="0"/>
                <w:numId w:val="5"/>
              </w:numPr>
              <w:jc w:val="both"/>
              <w:rPr>
                <w:bCs/>
                <w:color w:val="000000"/>
              </w:rPr>
            </w:pPr>
            <w:r>
              <w:rPr>
                <w:bCs/>
                <w:color w:val="000000"/>
              </w:rPr>
              <w:t>Natjecanje „Matačićevi mali skladatelji“</w:t>
            </w:r>
          </w:p>
        </w:tc>
      </w:tr>
      <w:tr w:rsidR="00931CB5" w:rsidRPr="003A3C1D" w:rsidTr="00A0456C">
        <w:trPr>
          <w:gridAfter w:val="1"/>
          <w:trHeight w:val="257"/>
        </w:trPr>
        <w:tc>
          <w:tcPr>
            <w:tcW w:w="2220" w:type="dxa"/>
            <w:shd w:val="clear" w:color="auto" w:fill="D9D9D9"/>
          </w:tcPr>
          <w:p w:rsidR="00931CB5" w:rsidRPr="00AC2C3E" w:rsidRDefault="00931CB5" w:rsidP="00A0456C">
            <w:pPr>
              <w:rPr>
                <w:b/>
                <w:bCs/>
                <w:color w:val="000000"/>
                <w:sz w:val="22"/>
                <w:szCs w:val="22"/>
              </w:rPr>
            </w:pPr>
            <w:r w:rsidRPr="00AC2C3E">
              <w:rPr>
                <w:b/>
                <w:bCs/>
                <w:color w:val="000000"/>
                <w:sz w:val="22"/>
                <w:szCs w:val="22"/>
              </w:rPr>
              <w:lastRenderedPageBreak/>
              <w:t>Obrazloženje iz</w:t>
            </w:r>
            <w:r>
              <w:rPr>
                <w:b/>
                <w:bCs/>
                <w:color w:val="000000"/>
                <w:sz w:val="22"/>
                <w:szCs w:val="22"/>
              </w:rPr>
              <w:t>vršenja s ciljevima koji su ostvareni provedbom</w:t>
            </w:r>
            <w:r w:rsidRPr="00AC2C3E">
              <w:rPr>
                <w:b/>
                <w:bCs/>
                <w:color w:val="000000"/>
                <w:sz w:val="22"/>
                <w:szCs w:val="22"/>
              </w:rPr>
              <w:t xml:space="preserve"> </w:t>
            </w:r>
          </w:p>
        </w:tc>
        <w:tc>
          <w:tcPr>
            <w:tcW w:w="7068" w:type="dxa"/>
            <w:gridSpan w:val="6"/>
            <w:shd w:val="clear" w:color="auto" w:fill="auto"/>
          </w:tcPr>
          <w:p w:rsidR="00931CB5" w:rsidRDefault="00931CB5" w:rsidP="00A0456C">
            <w:pPr>
              <w:rPr>
                <w:bCs/>
                <w:color w:val="000000"/>
              </w:rPr>
            </w:pPr>
            <w:r w:rsidRPr="00F67CEB">
              <w:rPr>
                <w:bCs/>
                <w:color w:val="000000"/>
              </w:rPr>
              <w:t>Jedan od pokazatelja uspješnosti provođenja programa su rezultati koje učenici postižu na natjecanjima, smotrama, susretima od županije preko regionalne, državne razine do međunarodne razine. Sa svakim koncertom je vidljivo kako se omiška publika odgaja i postaje zahtjevnija. Održano je</w:t>
            </w:r>
            <w:r>
              <w:rPr>
                <w:bCs/>
                <w:color w:val="000000"/>
              </w:rPr>
              <w:t xml:space="preserve"> preko 100</w:t>
            </w:r>
            <w:r w:rsidRPr="00F67CEB">
              <w:rPr>
                <w:bCs/>
                <w:color w:val="000000"/>
              </w:rPr>
              <w:t xml:space="preserve"> priredb</w:t>
            </w:r>
            <w:r>
              <w:rPr>
                <w:bCs/>
                <w:color w:val="000000"/>
              </w:rPr>
              <w:t xml:space="preserve">i škole, koncerata, internih koncerata, </w:t>
            </w:r>
            <w:r w:rsidRPr="00F67CEB">
              <w:rPr>
                <w:bCs/>
                <w:color w:val="000000"/>
              </w:rPr>
              <w:t xml:space="preserve"> na kojima su nastupali učenici</w:t>
            </w:r>
            <w:r>
              <w:rPr>
                <w:bCs/>
                <w:color w:val="000000"/>
              </w:rPr>
              <w:t xml:space="preserve"> i polaznici</w:t>
            </w:r>
            <w:r w:rsidRPr="00F67CEB">
              <w:rPr>
                <w:bCs/>
                <w:color w:val="000000"/>
              </w:rPr>
              <w:t xml:space="preserve"> OGŠ Lovro pl. Matačić Omiš</w:t>
            </w:r>
            <w:r>
              <w:rPr>
                <w:bCs/>
                <w:color w:val="000000"/>
              </w:rPr>
              <w:t>, 5 ansambla-</w:t>
            </w:r>
            <w:r w:rsidRPr="00F67CEB">
              <w:rPr>
                <w:bCs/>
                <w:color w:val="000000"/>
              </w:rPr>
              <w:t>zbor početničkog solfeggia</w:t>
            </w:r>
            <w:r>
              <w:rPr>
                <w:bCs/>
                <w:color w:val="000000"/>
              </w:rPr>
              <w:t xml:space="preserve"> i glazbenog vrtića</w:t>
            </w:r>
            <w:r w:rsidRPr="00F67CEB">
              <w:rPr>
                <w:bCs/>
                <w:color w:val="000000"/>
              </w:rPr>
              <w:t xml:space="preserve">, mali zbor, veliki zbor, gudački i </w:t>
            </w:r>
            <w:r>
              <w:rPr>
                <w:bCs/>
                <w:color w:val="000000"/>
              </w:rPr>
              <w:t>puhački orkestar, školska klapa.</w:t>
            </w:r>
            <w:r w:rsidRPr="00F67CEB">
              <w:rPr>
                <w:bCs/>
                <w:color w:val="000000"/>
              </w:rPr>
              <w:t xml:space="preserve"> </w:t>
            </w:r>
          </w:p>
          <w:p w:rsidR="00931CB5" w:rsidRDefault="00931CB5" w:rsidP="00A0456C">
            <w:pPr>
              <w:rPr>
                <w:bCs/>
                <w:color w:val="000000"/>
              </w:rPr>
            </w:pPr>
            <w:r>
              <w:rPr>
                <w:bCs/>
                <w:color w:val="000000"/>
              </w:rPr>
              <w:t>Iz prihoda za posebne namjene proračunskog korisnika ukupno je utrošeno 15.629,99 eura od planiranih 20.026,00 eura, što nas dovodi do indeksa realizacije od 78,05%.</w:t>
            </w:r>
          </w:p>
          <w:p w:rsidR="00931CB5" w:rsidRPr="003A3C1D" w:rsidRDefault="00931CB5" w:rsidP="00A0456C">
            <w:pPr>
              <w:rPr>
                <w:bCs/>
                <w:color w:val="000000"/>
              </w:rPr>
            </w:pPr>
            <w:r>
              <w:rPr>
                <w:bCs/>
                <w:color w:val="000000"/>
              </w:rPr>
              <w:t>Iz donacija utrošeno je 1.784,53 eura od planiranih 3.700,00 eura što je realizacija od 48,23%.</w:t>
            </w:r>
          </w:p>
        </w:tc>
      </w:tr>
      <w:tr w:rsidR="00931CB5" w:rsidRPr="003A3C1D" w:rsidTr="00A0456C">
        <w:trPr>
          <w:gridAfter w:val="1"/>
          <w:trHeight w:val="257"/>
        </w:trPr>
        <w:tc>
          <w:tcPr>
            <w:tcW w:w="0" w:type="auto"/>
            <w:gridSpan w:val="7"/>
            <w:shd w:val="clear" w:color="auto" w:fill="FFFFFF"/>
          </w:tcPr>
          <w:tbl>
            <w:tblPr>
              <w:tblW w:w="4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19"/>
              <w:gridCol w:w="1758"/>
            </w:tblGrid>
            <w:tr w:rsidR="00931CB5" w:rsidRPr="0033683A" w:rsidTr="00A0456C">
              <w:trPr>
                <w:trHeight w:val="192"/>
              </w:trPr>
              <w:tc>
                <w:tcPr>
                  <w:tcW w:w="1940" w:type="pct"/>
                  <w:shd w:val="clear" w:color="auto" w:fill="F2F2F2"/>
                </w:tcPr>
                <w:p w:rsidR="00931CB5" w:rsidRPr="00AC2C3E" w:rsidRDefault="00931CB5" w:rsidP="00A0456C">
                  <w:pPr>
                    <w:jc w:val="center"/>
                    <w:rPr>
                      <w:b/>
                      <w:bCs/>
                      <w:color w:val="000000"/>
                      <w:sz w:val="22"/>
                      <w:szCs w:val="22"/>
                    </w:rPr>
                  </w:pPr>
                  <w:r w:rsidRPr="00D55D1F">
                    <w:rPr>
                      <w:b/>
                      <w:bCs/>
                      <w:color w:val="000000"/>
                      <w:sz w:val="20"/>
                      <w:szCs w:val="20"/>
                    </w:rPr>
                    <w:t>P</w:t>
                  </w:r>
                  <w:r>
                    <w:rPr>
                      <w:b/>
                      <w:bCs/>
                      <w:color w:val="000000"/>
                      <w:sz w:val="20"/>
                      <w:szCs w:val="20"/>
                    </w:rPr>
                    <w:t xml:space="preserve">lan </w:t>
                  </w:r>
                  <w:r w:rsidRPr="00D55D1F">
                    <w:rPr>
                      <w:b/>
                      <w:bCs/>
                      <w:color w:val="000000"/>
                      <w:sz w:val="20"/>
                      <w:szCs w:val="20"/>
                    </w:rPr>
                    <w:t>202</w:t>
                  </w:r>
                  <w:r>
                    <w:rPr>
                      <w:b/>
                      <w:bCs/>
                      <w:color w:val="000000"/>
                      <w:sz w:val="20"/>
                      <w:szCs w:val="20"/>
                    </w:rPr>
                    <w:t>3</w:t>
                  </w:r>
                  <w:r w:rsidRPr="00D55D1F">
                    <w:rPr>
                      <w:b/>
                      <w:bCs/>
                      <w:color w:val="000000"/>
                      <w:sz w:val="20"/>
                      <w:szCs w:val="20"/>
                    </w:rPr>
                    <w:t>.</w:t>
                  </w:r>
                </w:p>
              </w:tc>
              <w:tc>
                <w:tcPr>
                  <w:tcW w:w="1934" w:type="pct"/>
                  <w:shd w:val="clear" w:color="auto" w:fill="F2F2F2"/>
                </w:tcPr>
                <w:p w:rsidR="00931CB5" w:rsidRPr="00AC2C3E" w:rsidRDefault="00931CB5" w:rsidP="00A0456C">
                  <w:pPr>
                    <w:jc w:val="center"/>
                    <w:rPr>
                      <w:b/>
                      <w:bCs/>
                      <w:color w:val="000000"/>
                      <w:sz w:val="22"/>
                      <w:szCs w:val="22"/>
                    </w:rPr>
                  </w:pPr>
                  <w:r>
                    <w:rPr>
                      <w:b/>
                      <w:bCs/>
                      <w:color w:val="000000"/>
                      <w:sz w:val="20"/>
                      <w:szCs w:val="20"/>
                    </w:rPr>
                    <w:t>Realizirano</w:t>
                  </w:r>
                  <w:r w:rsidRPr="00D55D1F">
                    <w:rPr>
                      <w:b/>
                      <w:bCs/>
                      <w:color w:val="000000"/>
                      <w:sz w:val="20"/>
                      <w:szCs w:val="20"/>
                    </w:rPr>
                    <w:t xml:space="preserve"> </w:t>
                  </w:r>
                  <w:r>
                    <w:rPr>
                      <w:b/>
                      <w:bCs/>
                      <w:color w:val="000000"/>
                      <w:sz w:val="20"/>
                      <w:szCs w:val="20"/>
                    </w:rPr>
                    <w:br/>
                    <w:t xml:space="preserve">siječanj – prosinac </w:t>
                  </w:r>
                  <w:r w:rsidRPr="00D55D1F">
                    <w:rPr>
                      <w:b/>
                      <w:bCs/>
                      <w:color w:val="000000"/>
                      <w:sz w:val="20"/>
                      <w:szCs w:val="20"/>
                    </w:rPr>
                    <w:t>202</w:t>
                  </w:r>
                  <w:r>
                    <w:rPr>
                      <w:b/>
                      <w:bCs/>
                      <w:color w:val="000000"/>
                      <w:sz w:val="20"/>
                      <w:szCs w:val="20"/>
                    </w:rPr>
                    <w:t>3.</w:t>
                  </w:r>
                </w:p>
              </w:tc>
              <w:tc>
                <w:tcPr>
                  <w:tcW w:w="1126" w:type="pct"/>
                  <w:shd w:val="clear" w:color="auto" w:fill="F2F2F2"/>
                </w:tcPr>
                <w:p w:rsidR="00931CB5" w:rsidRPr="00AC2C3E" w:rsidRDefault="00931CB5" w:rsidP="00A0456C">
                  <w:pPr>
                    <w:jc w:val="center"/>
                    <w:rPr>
                      <w:b/>
                      <w:bCs/>
                      <w:color w:val="000000"/>
                      <w:sz w:val="22"/>
                      <w:szCs w:val="22"/>
                    </w:rPr>
                  </w:pPr>
                  <w:r>
                    <w:rPr>
                      <w:b/>
                      <w:bCs/>
                      <w:color w:val="000000"/>
                      <w:sz w:val="20"/>
                      <w:szCs w:val="20"/>
                    </w:rPr>
                    <w:t>Indeks</w:t>
                  </w:r>
                </w:p>
              </w:tc>
            </w:tr>
            <w:tr w:rsidR="00931CB5" w:rsidRPr="00955E35" w:rsidTr="00A0456C">
              <w:trPr>
                <w:trHeight w:val="192"/>
              </w:trPr>
              <w:tc>
                <w:tcPr>
                  <w:tcW w:w="1940"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23725,80€</w:t>
                  </w:r>
                </w:p>
              </w:tc>
              <w:tc>
                <w:tcPr>
                  <w:tcW w:w="1934"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17.414,52€</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31CB5" w:rsidRPr="00B41766" w:rsidRDefault="00931CB5" w:rsidP="00A0456C">
                  <w:pPr>
                    <w:jc w:val="right"/>
                    <w:rPr>
                      <w:bCs/>
                      <w:color w:val="000000"/>
                      <w:sz w:val="22"/>
                      <w:szCs w:val="22"/>
                    </w:rPr>
                  </w:pPr>
                  <w:r>
                    <w:rPr>
                      <w:bCs/>
                      <w:color w:val="000000"/>
                      <w:sz w:val="22"/>
                      <w:szCs w:val="22"/>
                    </w:rPr>
                    <w:t>73,40%</w:t>
                  </w:r>
                </w:p>
              </w:tc>
            </w:tr>
          </w:tbl>
          <w:p w:rsidR="00931CB5" w:rsidRPr="003A3C1D" w:rsidRDefault="00931CB5" w:rsidP="00A0456C">
            <w:pPr>
              <w:rPr>
                <w:bCs/>
                <w:color w:val="000000"/>
              </w:rPr>
            </w:pPr>
          </w:p>
        </w:tc>
      </w:tr>
      <w:tr w:rsidR="00931CB5" w:rsidRPr="00466EA6" w:rsidTr="00A0456C">
        <w:tblPrEx>
          <w:tblLook w:val="04A0" w:firstRow="1" w:lastRow="0" w:firstColumn="1" w:lastColumn="0" w:noHBand="0" w:noVBand="1"/>
        </w:tblPrEx>
        <w:trPr>
          <w:trHeight w:val="566"/>
        </w:trPr>
        <w:tc>
          <w:tcPr>
            <w:tcW w:w="0" w:type="auto"/>
            <w:shd w:val="clear" w:color="auto" w:fill="D9D9D9"/>
          </w:tcPr>
          <w:p w:rsidR="00931CB5" w:rsidRPr="00AD6019" w:rsidRDefault="00931CB5" w:rsidP="00A0456C">
            <w:pPr>
              <w:rPr>
                <w:b/>
                <w:sz w:val="20"/>
                <w:szCs w:val="20"/>
              </w:rPr>
            </w:pPr>
            <w:r w:rsidRPr="00AD6019">
              <w:rPr>
                <w:b/>
                <w:sz w:val="20"/>
                <w:szCs w:val="20"/>
              </w:rPr>
              <w:t xml:space="preserve">Pokazatelj </w:t>
            </w:r>
            <w:r>
              <w:rPr>
                <w:b/>
                <w:sz w:val="20"/>
                <w:szCs w:val="20"/>
              </w:rPr>
              <w:t>rezultata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Definicija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Jedinica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Polazna vrijednost 202</w:t>
            </w:r>
            <w:r>
              <w:rPr>
                <w:b/>
                <w:sz w:val="20"/>
                <w:szCs w:val="20"/>
              </w:rPr>
              <w:t>3</w:t>
            </w:r>
            <w:r w:rsidRPr="00AD6019">
              <w:rPr>
                <w:b/>
                <w:sz w:val="20"/>
                <w:szCs w:val="20"/>
              </w:rPr>
              <w:t>.</w:t>
            </w:r>
          </w:p>
        </w:tc>
        <w:tc>
          <w:tcPr>
            <w:tcW w:w="0" w:type="auto"/>
            <w:shd w:val="clear" w:color="auto" w:fill="D9D9D9"/>
          </w:tcPr>
          <w:p w:rsidR="00931CB5" w:rsidRPr="00AD6019" w:rsidRDefault="00931CB5" w:rsidP="00A0456C">
            <w:pPr>
              <w:jc w:val="center"/>
              <w:rPr>
                <w:b/>
                <w:sz w:val="20"/>
                <w:szCs w:val="20"/>
              </w:rPr>
            </w:pPr>
            <w:r>
              <w:rPr>
                <w:b/>
                <w:sz w:val="20"/>
                <w:szCs w:val="20"/>
              </w:rPr>
              <w:t>Izvor podataka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Ciljana vrijednost 202</w:t>
            </w:r>
            <w:r>
              <w:rPr>
                <w:b/>
                <w:sz w:val="20"/>
                <w:szCs w:val="20"/>
              </w:rPr>
              <w:t>3</w:t>
            </w:r>
            <w:r w:rsidRPr="00AD6019">
              <w:rPr>
                <w:b/>
                <w:sz w:val="20"/>
                <w:szCs w:val="20"/>
              </w:rPr>
              <w:t>.</w:t>
            </w:r>
          </w:p>
        </w:tc>
        <w:tc>
          <w:tcPr>
            <w:tcW w:w="0" w:type="auto"/>
            <w:gridSpan w:val="2"/>
            <w:shd w:val="clear" w:color="auto" w:fill="D9D9D9"/>
          </w:tcPr>
          <w:p w:rsidR="00931CB5" w:rsidRPr="00AD6019" w:rsidRDefault="00931CB5" w:rsidP="00A0456C">
            <w:pPr>
              <w:jc w:val="center"/>
              <w:rPr>
                <w:b/>
                <w:sz w:val="20"/>
                <w:szCs w:val="20"/>
              </w:rPr>
            </w:pPr>
            <w:r>
              <w:rPr>
                <w:b/>
                <w:sz w:val="20"/>
                <w:szCs w:val="20"/>
              </w:rPr>
              <w:t xml:space="preserve">Ostvarena </w:t>
            </w:r>
            <w:r w:rsidRPr="00AD6019">
              <w:rPr>
                <w:b/>
                <w:sz w:val="20"/>
                <w:szCs w:val="20"/>
              </w:rPr>
              <w:t>vrijednost 202</w:t>
            </w:r>
            <w:r>
              <w:rPr>
                <w:b/>
                <w:sz w:val="20"/>
                <w:szCs w:val="20"/>
              </w:rPr>
              <w:t>3</w:t>
            </w:r>
            <w:r w:rsidRPr="00AD6019">
              <w:rPr>
                <w:b/>
                <w:sz w:val="20"/>
                <w:szCs w:val="20"/>
              </w:rPr>
              <w:t>.</w:t>
            </w:r>
          </w:p>
        </w:tc>
      </w:tr>
      <w:tr w:rsidR="00931CB5" w:rsidTr="00A0456C">
        <w:tblPrEx>
          <w:tblLook w:val="04A0" w:firstRow="1" w:lastRow="0" w:firstColumn="1" w:lastColumn="0" w:noHBand="0" w:noVBand="1"/>
        </w:tblPrEx>
        <w:trPr>
          <w:trHeight w:val="190"/>
        </w:trPr>
        <w:tc>
          <w:tcPr>
            <w:tcW w:w="0" w:type="auto"/>
            <w:shd w:val="clear" w:color="auto" w:fill="auto"/>
          </w:tcPr>
          <w:p w:rsidR="00931CB5" w:rsidRPr="002A2B7E" w:rsidRDefault="00931CB5" w:rsidP="00A0456C">
            <w:pPr>
              <w:rPr>
                <w:sz w:val="14"/>
                <w:szCs w:val="14"/>
              </w:rPr>
            </w:pPr>
            <w:r w:rsidRPr="002A2B7E">
              <w:rPr>
                <w:sz w:val="14"/>
                <w:szCs w:val="14"/>
              </w:rPr>
              <w:t>Povećanje broja učenika koji su uključeni u školske projekte</w:t>
            </w:r>
          </w:p>
        </w:tc>
        <w:tc>
          <w:tcPr>
            <w:tcW w:w="0" w:type="auto"/>
            <w:shd w:val="clear" w:color="auto" w:fill="auto"/>
          </w:tcPr>
          <w:p w:rsidR="00931CB5" w:rsidRPr="002A2B7E" w:rsidRDefault="00931CB5" w:rsidP="00A0456C">
            <w:pPr>
              <w:rPr>
                <w:sz w:val="14"/>
                <w:szCs w:val="14"/>
              </w:rPr>
            </w:pPr>
            <w:r w:rsidRPr="002A2B7E">
              <w:rPr>
                <w:sz w:val="14"/>
                <w:szCs w:val="14"/>
              </w:rPr>
              <w:t xml:space="preserve">Učenike se potiče na izažanje </w:t>
            </w:r>
            <w:r w:rsidRPr="002A2B7E">
              <w:rPr>
                <w:sz w:val="14"/>
                <w:szCs w:val="14"/>
              </w:rPr>
              <w:lastRenderedPageBreak/>
              <w:t xml:space="preserve">kreativnosti, talenata i sposobnosti </w:t>
            </w:r>
          </w:p>
        </w:tc>
        <w:tc>
          <w:tcPr>
            <w:tcW w:w="0" w:type="auto"/>
          </w:tcPr>
          <w:p w:rsidR="00931CB5" w:rsidRPr="002A2B7E" w:rsidRDefault="00931CB5" w:rsidP="00A0456C">
            <w:pPr>
              <w:rPr>
                <w:sz w:val="14"/>
                <w:szCs w:val="14"/>
              </w:rPr>
            </w:pPr>
            <w:r w:rsidRPr="002A2B7E">
              <w:rPr>
                <w:sz w:val="14"/>
                <w:szCs w:val="14"/>
              </w:rPr>
              <w:lastRenderedPageBreak/>
              <w:t>broj</w:t>
            </w:r>
          </w:p>
        </w:tc>
        <w:tc>
          <w:tcPr>
            <w:tcW w:w="0" w:type="auto"/>
            <w:shd w:val="clear" w:color="auto" w:fill="auto"/>
          </w:tcPr>
          <w:p w:rsidR="00931CB5" w:rsidRPr="002A2B7E" w:rsidRDefault="00931CB5" w:rsidP="00A0456C">
            <w:pPr>
              <w:rPr>
                <w:sz w:val="14"/>
                <w:szCs w:val="14"/>
              </w:rPr>
            </w:pPr>
            <w:r w:rsidRPr="002A2B7E">
              <w:rPr>
                <w:sz w:val="14"/>
                <w:szCs w:val="14"/>
              </w:rPr>
              <w:t>117</w:t>
            </w:r>
          </w:p>
        </w:tc>
        <w:tc>
          <w:tcPr>
            <w:tcW w:w="0" w:type="auto"/>
          </w:tcPr>
          <w:p w:rsidR="00931CB5" w:rsidRPr="002A2B7E" w:rsidRDefault="00931CB5" w:rsidP="00A0456C">
            <w:pPr>
              <w:rPr>
                <w:sz w:val="14"/>
                <w:szCs w:val="14"/>
              </w:rPr>
            </w:pPr>
            <w:r w:rsidRPr="002A2B7E">
              <w:rPr>
                <w:sz w:val="14"/>
                <w:szCs w:val="14"/>
              </w:rPr>
              <w:t>Škola</w:t>
            </w:r>
          </w:p>
        </w:tc>
        <w:tc>
          <w:tcPr>
            <w:tcW w:w="0" w:type="auto"/>
            <w:shd w:val="clear" w:color="auto" w:fill="auto"/>
          </w:tcPr>
          <w:p w:rsidR="00931CB5" w:rsidRPr="002A2B7E" w:rsidRDefault="00931CB5" w:rsidP="00A0456C">
            <w:pPr>
              <w:rPr>
                <w:sz w:val="14"/>
                <w:szCs w:val="14"/>
              </w:rPr>
            </w:pPr>
            <w:r w:rsidRPr="002A2B7E">
              <w:rPr>
                <w:sz w:val="14"/>
                <w:szCs w:val="14"/>
              </w:rPr>
              <w:t>150</w:t>
            </w:r>
          </w:p>
        </w:tc>
        <w:tc>
          <w:tcPr>
            <w:tcW w:w="0" w:type="auto"/>
            <w:gridSpan w:val="2"/>
          </w:tcPr>
          <w:p w:rsidR="00931CB5" w:rsidRPr="002A2B7E" w:rsidRDefault="00931CB5" w:rsidP="00A0456C">
            <w:pPr>
              <w:rPr>
                <w:sz w:val="14"/>
                <w:szCs w:val="14"/>
              </w:rPr>
            </w:pPr>
            <w:r w:rsidRPr="002A2B7E">
              <w:rPr>
                <w:sz w:val="14"/>
                <w:szCs w:val="14"/>
              </w:rPr>
              <w:t>120</w:t>
            </w:r>
          </w:p>
        </w:tc>
      </w:tr>
      <w:tr w:rsidR="00931CB5" w:rsidTr="00A0456C">
        <w:tblPrEx>
          <w:tblLook w:val="04A0" w:firstRow="1" w:lastRow="0" w:firstColumn="1" w:lastColumn="0" w:noHBand="0" w:noVBand="1"/>
        </w:tblPrEx>
        <w:trPr>
          <w:trHeight w:val="190"/>
        </w:trPr>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2A2B7E" w:rsidRDefault="00931CB5" w:rsidP="00A0456C">
            <w:pPr>
              <w:rPr>
                <w:sz w:val="14"/>
                <w:szCs w:val="14"/>
              </w:rPr>
            </w:pPr>
            <w:r w:rsidRPr="002A2B7E">
              <w:rPr>
                <w:sz w:val="14"/>
                <w:szCs w:val="14"/>
              </w:rPr>
              <w:lastRenderedPageBreak/>
              <w:t>Povećanje broja osvojenih mjesta (prva tri) na državnim/županijskim natjecanjima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2A2B7E" w:rsidRDefault="00931CB5" w:rsidP="00A0456C">
            <w:pPr>
              <w:rPr>
                <w:sz w:val="14"/>
                <w:szCs w:val="14"/>
              </w:rPr>
            </w:pPr>
            <w:r w:rsidRPr="002A2B7E">
              <w:rPr>
                <w:sz w:val="14"/>
                <w:szCs w:val="14"/>
              </w:rPr>
              <w:t>Uz to što se učenike potiče na izražavanje sposobnosti kroz ovakve aktivnosti testira se i kvaliteta rada nastavnika s nadarenim učenicima</w:t>
            </w:r>
          </w:p>
        </w:tc>
        <w:tc>
          <w:tcPr>
            <w:tcW w:w="0" w:type="auto"/>
            <w:tcBorders>
              <w:top w:val="single" w:sz="4" w:space="0" w:color="auto"/>
              <w:left w:val="single" w:sz="4" w:space="0" w:color="auto"/>
              <w:bottom w:val="single" w:sz="4" w:space="0" w:color="auto"/>
              <w:right w:val="single" w:sz="4" w:space="0" w:color="auto"/>
            </w:tcBorders>
          </w:tcPr>
          <w:p w:rsidR="00931CB5" w:rsidRPr="002A2B7E" w:rsidRDefault="00931CB5" w:rsidP="00A0456C">
            <w:pPr>
              <w:rPr>
                <w:sz w:val="14"/>
                <w:szCs w:val="14"/>
              </w:rPr>
            </w:pPr>
            <w:r w:rsidRPr="002A2B7E">
              <w:rPr>
                <w:sz w:val="14"/>
                <w:szCs w:val="14"/>
              </w:rPr>
              <w:t>broj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2A2B7E" w:rsidRDefault="00931CB5" w:rsidP="00A0456C">
            <w:pPr>
              <w:rPr>
                <w:sz w:val="14"/>
                <w:szCs w:val="14"/>
              </w:rPr>
            </w:pPr>
            <w:r>
              <w:rPr>
                <w:sz w:val="14"/>
                <w:szCs w:val="14"/>
              </w:rPr>
              <w:t>0</w:t>
            </w:r>
          </w:p>
        </w:tc>
        <w:tc>
          <w:tcPr>
            <w:tcW w:w="0" w:type="auto"/>
            <w:tcBorders>
              <w:top w:val="single" w:sz="4" w:space="0" w:color="auto"/>
              <w:left w:val="single" w:sz="4" w:space="0" w:color="auto"/>
              <w:bottom w:val="single" w:sz="4" w:space="0" w:color="auto"/>
              <w:right w:val="single" w:sz="4" w:space="0" w:color="auto"/>
            </w:tcBorders>
          </w:tcPr>
          <w:p w:rsidR="00931CB5" w:rsidRPr="002A2B7E" w:rsidRDefault="00931CB5" w:rsidP="00A0456C">
            <w:pPr>
              <w:rPr>
                <w:sz w:val="14"/>
                <w:szCs w:val="14"/>
              </w:rPr>
            </w:pPr>
            <w:r w:rsidRPr="002A2B7E">
              <w:rPr>
                <w:sz w:val="14"/>
                <w:szCs w:val="14"/>
              </w:rPr>
              <w:t>Škola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2A2B7E" w:rsidRDefault="00931CB5" w:rsidP="00A0456C">
            <w:pPr>
              <w:rPr>
                <w:sz w:val="14"/>
                <w:szCs w:val="14"/>
              </w:rPr>
            </w:pPr>
            <w:r>
              <w:rPr>
                <w:sz w:val="14"/>
                <w:szCs w:val="14"/>
              </w:rPr>
              <w:t>8</w:t>
            </w:r>
          </w:p>
        </w:tc>
        <w:tc>
          <w:tcPr>
            <w:tcW w:w="0" w:type="auto"/>
            <w:gridSpan w:val="2"/>
            <w:tcBorders>
              <w:top w:val="single" w:sz="4" w:space="0" w:color="auto"/>
              <w:left w:val="single" w:sz="4" w:space="0" w:color="auto"/>
              <w:bottom w:val="single" w:sz="4" w:space="0" w:color="auto"/>
              <w:right w:val="single" w:sz="4" w:space="0" w:color="auto"/>
            </w:tcBorders>
          </w:tcPr>
          <w:p w:rsidR="00931CB5" w:rsidRPr="002A2B7E" w:rsidRDefault="00931CB5" w:rsidP="00A0456C">
            <w:pPr>
              <w:rPr>
                <w:sz w:val="14"/>
                <w:szCs w:val="14"/>
              </w:rPr>
            </w:pPr>
            <w:r>
              <w:rPr>
                <w:sz w:val="14"/>
                <w:szCs w:val="14"/>
              </w:rPr>
              <w:t>5</w:t>
            </w:r>
          </w:p>
        </w:tc>
      </w:tr>
      <w:tr w:rsidR="00931CB5" w:rsidTr="00A0456C">
        <w:tblPrEx>
          <w:tblLook w:val="04A0" w:firstRow="1" w:lastRow="0" w:firstColumn="1" w:lastColumn="0" w:noHBand="0" w:noVBand="1"/>
        </w:tblPrEx>
        <w:trPr>
          <w:trHeight w:val="190"/>
        </w:trPr>
        <w:tc>
          <w:tcPr>
            <w:tcW w:w="0" w:type="auto"/>
            <w:shd w:val="clear" w:color="auto" w:fill="auto"/>
          </w:tcPr>
          <w:p w:rsidR="00931CB5" w:rsidRPr="002A2B7E" w:rsidRDefault="00931CB5" w:rsidP="00A0456C">
            <w:pPr>
              <w:rPr>
                <w:sz w:val="14"/>
                <w:szCs w:val="14"/>
              </w:rPr>
            </w:pPr>
            <w:r w:rsidRPr="002A2B7E">
              <w:rPr>
                <w:sz w:val="14"/>
                <w:szCs w:val="14"/>
              </w:rPr>
              <w:t>Povećanje broja učenika koji su uključeni u različite kulturne aktivnosti (posjet kazalištu, muzejima, koncertima)</w:t>
            </w:r>
          </w:p>
        </w:tc>
        <w:tc>
          <w:tcPr>
            <w:tcW w:w="0" w:type="auto"/>
            <w:shd w:val="clear" w:color="auto" w:fill="auto"/>
          </w:tcPr>
          <w:p w:rsidR="00931CB5" w:rsidRPr="002A2B7E" w:rsidRDefault="00931CB5" w:rsidP="00A0456C">
            <w:pPr>
              <w:rPr>
                <w:sz w:val="14"/>
                <w:szCs w:val="14"/>
              </w:rPr>
            </w:pPr>
            <w:r w:rsidRPr="002A2B7E">
              <w:rPr>
                <w:sz w:val="14"/>
                <w:szCs w:val="14"/>
              </w:rPr>
              <w:t xml:space="preserve">Posjetima različitim ustanovama u kulturi učenicima se približavaju različite vrste umjetnosti na praktičan i neposredan način </w:t>
            </w:r>
          </w:p>
        </w:tc>
        <w:tc>
          <w:tcPr>
            <w:tcW w:w="0" w:type="auto"/>
          </w:tcPr>
          <w:p w:rsidR="00931CB5" w:rsidRPr="002A2B7E" w:rsidRDefault="00931CB5" w:rsidP="00A0456C">
            <w:pPr>
              <w:rPr>
                <w:sz w:val="14"/>
                <w:szCs w:val="14"/>
              </w:rPr>
            </w:pPr>
            <w:r w:rsidRPr="002A2B7E">
              <w:rPr>
                <w:sz w:val="14"/>
                <w:szCs w:val="14"/>
              </w:rPr>
              <w:t>broj</w:t>
            </w:r>
          </w:p>
        </w:tc>
        <w:tc>
          <w:tcPr>
            <w:tcW w:w="0" w:type="auto"/>
            <w:shd w:val="clear" w:color="auto" w:fill="auto"/>
          </w:tcPr>
          <w:p w:rsidR="00931CB5" w:rsidRPr="002A2B7E" w:rsidRDefault="00931CB5" w:rsidP="00A0456C">
            <w:pPr>
              <w:rPr>
                <w:sz w:val="14"/>
                <w:szCs w:val="14"/>
              </w:rPr>
            </w:pPr>
            <w:r w:rsidRPr="002A2B7E">
              <w:rPr>
                <w:sz w:val="14"/>
                <w:szCs w:val="14"/>
              </w:rPr>
              <w:t>120</w:t>
            </w:r>
            <w:r>
              <w:rPr>
                <w:sz w:val="14"/>
                <w:szCs w:val="14"/>
              </w:rPr>
              <w:t xml:space="preserve"> </w:t>
            </w:r>
          </w:p>
        </w:tc>
        <w:tc>
          <w:tcPr>
            <w:tcW w:w="0" w:type="auto"/>
          </w:tcPr>
          <w:p w:rsidR="00931CB5" w:rsidRPr="002A2B7E" w:rsidRDefault="00931CB5" w:rsidP="00A0456C">
            <w:pPr>
              <w:rPr>
                <w:sz w:val="14"/>
                <w:szCs w:val="14"/>
              </w:rPr>
            </w:pPr>
            <w:r w:rsidRPr="002A2B7E">
              <w:rPr>
                <w:sz w:val="14"/>
                <w:szCs w:val="14"/>
              </w:rPr>
              <w:t>Škola</w:t>
            </w:r>
          </w:p>
        </w:tc>
        <w:tc>
          <w:tcPr>
            <w:tcW w:w="0" w:type="auto"/>
            <w:shd w:val="clear" w:color="auto" w:fill="auto"/>
          </w:tcPr>
          <w:p w:rsidR="00931CB5" w:rsidRPr="002A2B7E" w:rsidRDefault="00931CB5" w:rsidP="00A0456C">
            <w:pPr>
              <w:rPr>
                <w:sz w:val="14"/>
                <w:szCs w:val="14"/>
              </w:rPr>
            </w:pPr>
            <w:r>
              <w:rPr>
                <w:sz w:val="14"/>
                <w:szCs w:val="14"/>
              </w:rPr>
              <w:t>200</w:t>
            </w:r>
          </w:p>
        </w:tc>
        <w:tc>
          <w:tcPr>
            <w:tcW w:w="0" w:type="auto"/>
            <w:gridSpan w:val="2"/>
          </w:tcPr>
          <w:p w:rsidR="00931CB5" w:rsidRPr="002A2B7E" w:rsidRDefault="00931CB5" w:rsidP="00A0456C">
            <w:pPr>
              <w:rPr>
                <w:sz w:val="14"/>
                <w:szCs w:val="14"/>
              </w:rPr>
            </w:pPr>
            <w:r>
              <w:rPr>
                <w:sz w:val="14"/>
                <w:szCs w:val="14"/>
              </w:rPr>
              <w:t>150</w:t>
            </w:r>
          </w:p>
        </w:tc>
      </w:tr>
    </w:tbl>
    <w:p w:rsidR="00931CB5" w:rsidRPr="00C04E71" w:rsidRDefault="00931CB5" w:rsidP="00931CB5">
      <w:pPr>
        <w:rPr>
          <w:b/>
        </w:rPr>
      </w:pPr>
    </w:p>
    <w:p w:rsidR="00931CB5" w:rsidRPr="00C04E71" w:rsidRDefault="00931CB5" w:rsidP="00931CB5">
      <w:pPr>
        <w:rPr>
          <w:b/>
          <w:color w:val="FF0000"/>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069"/>
        <w:gridCol w:w="934"/>
        <w:gridCol w:w="1083"/>
        <w:gridCol w:w="1017"/>
        <w:gridCol w:w="1083"/>
        <w:gridCol w:w="553"/>
        <w:gridCol w:w="553"/>
      </w:tblGrid>
      <w:tr w:rsidR="00931CB5" w:rsidRPr="003A3C1D" w:rsidTr="00931CB5">
        <w:trPr>
          <w:gridAfter w:val="1"/>
          <w:trHeight w:val="517"/>
        </w:trPr>
        <w:tc>
          <w:tcPr>
            <w:tcW w:w="2240" w:type="dxa"/>
            <w:shd w:val="clear" w:color="auto" w:fill="D9D9D9"/>
          </w:tcPr>
          <w:p w:rsidR="00931CB5" w:rsidRPr="003A3C1D" w:rsidRDefault="00931CB5" w:rsidP="00A0456C">
            <w:pPr>
              <w:rPr>
                <w:b/>
                <w:bCs/>
                <w:color w:val="000000"/>
              </w:rPr>
            </w:pPr>
            <w:r w:rsidRPr="003A3C1D">
              <w:rPr>
                <w:b/>
                <w:bCs/>
                <w:color w:val="000000"/>
              </w:rPr>
              <w:t>Aktivnost</w:t>
            </w:r>
            <w:r>
              <w:rPr>
                <w:b/>
                <w:bCs/>
                <w:color w:val="000000"/>
              </w:rPr>
              <w:t>/ Projekt</w:t>
            </w:r>
            <w:r w:rsidRPr="003A3C1D">
              <w:rPr>
                <w:b/>
                <w:bCs/>
                <w:color w:val="000000"/>
              </w:rPr>
              <w:t>:</w:t>
            </w:r>
          </w:p>
        </w:tc>
        <w:tc>
          <w:tcPr>
            <w:tcW w:w="2238" w:type="dxa"/>
            <w:gridSpan w:val="2"/>
            <w:shd w:val="clear" w:color="auto" w:fill="auto"/>
          </w:tcPr>
          <w:p w:rsidR="00931CB5" w:rsidRPr="005E3C13" w:rsidRDefault="00931CB5" w:rsidP="00A0456C">
            <w:pPr>
              <w:rPr>
                <w:b/>
                <w:bCs/>
                <w:color w:val="000000"/>
              </w:rPr>
            </w:pPr>
            <w:r>
              <w:rPr>
                <w:b/>
                <w:bCs/>
                <w:color w:val="000000"/>
              </w:rPr>
              <w:t>A004030A403001</w:t>
            </w:r>
          </w:p>
        </w:tc>
        <w:tc>
          <w:tcPr>
            <w:tcW w:w="4742" w:type="dxa"/>
            <w:gridSpan w:val="4"/>
            <w:shd w:val="clear" w:color="auto" w:fill="auto"/>
          </w:tcPr>
          <w:p w:rsidR="00931CB5" w:rsidRDefault="00931CB5" w:rsidP="00A0456C">
            <w:pPr>
              <w:rPr>
                <w:b/>
                <w:bCs/>
                <w:color w:val="000000"/>
              </w:rPr>
            </w:pPr>
            <w:r>
              <w:rPr>
                <w:b/>
                <w:bCs/>
                <w:color w:val="000000"/>
              </w:rPr>
              <w:t>Rashodi djelatnosti</w:t>
            </w:r>
          </w:p>
          <w:p w:rsidR="00931CB5" w:rsidRPr="005E3C13" w:rsidRDefault="00931CB5" w:rsidP="00A0456C">
            <w:pPr>
              <w:rPr>
                <w:b/>
                <w:bCs/>
                <w:color w:val="000000"/>
              </w:rPr>
            </w:pPr>
          </w:p>
        </w:tc>
      </w:tr>
      <w:tr w:rsidR="00931CB5" w:rsidRPr="003A3C1D" w:rsidTr="00931CB5">
        <w:trPr>
          <w:gridAfter w:val="1"/>
          <w:trHeight w:val="517"/>
        </w:trPr>
        <w:tc>
          <w:tcPr>
            <w:tcW w:w="2240" w:type="dxa"/>
            <w:shd w:val="clear" w:color="auto" w:fill="D9D9D9"/>
          </w:tcPr>
          <w:p w:rsidR="00931CB5" w:rsidRPr="00AC2C3E" w:rsidRDefault="00931CB5" w:rsidP="00A0456C">
            <w:pPr>
              <w:rPr>
                <w:b/>
                <w:bCs/>
                <w:color w:val="000000"/>
                <w:sz w:val="22"/>
                <w:szCs w:val="22"/>
              </w:rPr>
            </w:pPr>
            <w:r w:rsidRPr="00AC2C3E">
              <w:rPr>
                <w:b/>
                <w:bCs/>
                <w:color w:val="000000"/>
                <w:sz w:val="22"/>
                <w:szCs w:val="22"/>
              </w:rPr>
              <w:t>Zakonska i druga pravna osnova:</w:t>
            </w:r>
          </w:p>
        </w:tc>
        <w:tc>
          <w:tcPr>
            <w:tcW w:w="6980" w:type="dxa"/>
            <w:gridSpan w:val="6"/>
            <w:shd w:val="clear" w:color="auto" w:fill="auto"/>
          </w:tcPr>
          <w:p w:rsidR="00931CB5" w:rsidRPr="0002314B" w:rsidRDefault="00931CB5" w:rsidP="00A0456C">
            <w:pPr>
              <w:rPr>
                <w:rFonts w:eastAsia="Symbol"/>
                <w:color w:val="000000"/>
                <w:lang w:val="pl-PL"/>
              </w:rPr>
            </w:pPr>
            <w:r w:rsidRPr="0002314B">
              <w:rPr>
                <w:rFonts w:eastAsia="Symbol"/>
                <w:color w:val="000000"/>
                <w:lang w:val="pl-PL"/>
              </w:rPr>
              <w:t>Djelatnost osnovnog  odgoja i obrazovanja ostvaruje se u skladu s odredbama:</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 o odgoju i obrazovanju u osnovnoj i srednjoj školi  </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Zakona o ustanovama </w:t>
            </w:r>
          </w:p>
          <w:p w:rsidR="00931CB5" w:rsidRPr="0002314B" w:rsidRDefault="00931CB5" w:rsidP="00931CB5">
            <w:pPr>
              <w:numPr>
                <w:ilvl w:val="0"/>
                <w:numId w:val="3"/>
              </w:numPr>
              <w:rPr>
                <w:rFonts w:eastAsia="Symbol"/>
                <w:color w:val="000000"/>
                <w:lang w:val="pl-PL"/>
              </w:rPr>
            </w:pPr>
            <w:r w:rsidRPr="0002314B">
              <w:rPr>
                <w:rFonts w:eastAsia="Symbol"/>
                <w:color w:val="000000"/>
              </w:rPr>
              <w:t>Zakona o umjetničkom obrazovanju</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Godišnji plan  i program rada škole za školsku godinu 2022./2023.</w:t>
            </w:r>
            <w:r>
              <w:rPr>
                <w:rFonts w:eastAsia="Symbol"/>
                <w:color w:val="000000"/>
                <w:lang w:val="pl-PL"/>
              </w:rPr>
              <w:t>¸2023./2024.</w:t>
            </w:r>
          </w:p>
          <w:p w:rsidR="00931CB5" w:rsidRPr="0002314B" w:rsidRDefault="00931CB5" w:rsidP="00931CB5">
            <w:pPr>
              <w:numPr>
                <w:ilvl w:val="0"/>
                <w:numId w:val="3"/>
              </w:numPr>
              <w:rPr>
                <w:rFonts w:eastAsia="Symbol"/>
                <w:i/>
                <w:color w:val="000000"/>
                <w:lang w:val="pl-PL"/>
              </w:rPr>
            </w:pPr>
            <w:r w:rsidRPr="0002314B">
              <w:rPr>
                <w:rFonts w:eastAsia="Symbol"/>
                <w:color w:val="000000"/>
                <w:lang w:val="pl-PL"/>
              </w:rPr>
              <w:t>Kurikulum škole za školsku godinu 2022./2023.</w:t>
            </w:r>
            <w:r>
              <w:rPr>
                <w:rFonts w:eastAsia="Symbol"/>
                <w:color w:val="000000"/>
                <w:lang w:val="pl-PL"/>
              </w:rPr>
              <w:t>, 2023./2024.</w:t>
            </w:r>
          </w:p>
          <w:p w:rsidR="00931CB5" w:rsidRPr="003A3C1D" w:rsidRDefault="00931CB5" w:rsidP="00A0456C">
            <w:pPr>
              <w:rPr>
                <w:rFonts w:eastAsia="Symbol"/>
                <w:color w:val="000000"/>
                <w:lang w:val="pl-PL"/>
              </w:rPr>
            </w:pPr>
            <w:r w:rsidRPr="0002314B">
              <w:rPr>
                <w:rFonts w:eastAsia="Symbol"/>
                <w:color w:val="000000"/>
                <w:lang w:val="pl-PL"/>
              </w:rPr>
              <w:t>Uputa SDŽ za izradu izmjena i dopuna Proračuna Splitsko-dalmatinske županije</w:t>
            </w:r>
            <w:r>
              <w:rPr>
                <w:rFonts w:eastAsia="Symbol"/>
                <w:color w:val="000000"/>
                <w:lang w:val="pl-PL"/>
              </w:rPr>
              <w:t>.</w:t>
            </w:r>
          </w:p>
        </w:tc>
      </w:tr>
      <w:tr w:rsidR="00931CB5" w:rsidRPr="003A3C1D" w:rsidTr="00931CB5">
        <w:trPr>
          <w:gridAfter w:val="1"/>
          <w:trHeight w:val="257"/>
        </w:trPr>
        <w:tc>
          <w:tcPr>
            <w:tcW w:w="2240" w:type="dxa"/>
            <w:shd w:val="clear" w:color="auto" w:fill="D9D9D9"/>
          </w:tcPr>
          <w:p w:rsidR="00931CB5" w:rsidRPr="00AC2C3E" w:rsidRDefault="00931CB5" w:rsidP="00A0456C">
            <w:pPr>
              <w:rPr>
                <w:b/>
                <w:bCs/>
                <w:color w:val="000000"/>
                <w:sz w:val="22"/>
                <w:szCs w:val="22"/>
              </w:rPr>
            </w:pPr>
            <w:r w:rsidRPr="00AC2C3E">
              <w:rPr>
                <w:b/>
                <w:bCs/>
                <w:color w:val="000000"/>
                <w:sz w:val="22"/>
                <w:szCs w:val="22"/>
              </w:rPr>
              <w:t xml:space="preserve">Opis aktivnosti / projekta </w:t>
            </w:r>
          </w:p>
        </w:tc>
        <w:tc>
          <w:tcPr>
            <w:tcW w:w="6980" w:type="dxa"/>
            <w:gridSpan w:val="6"/>
            <w:shd w:val="clear" w:color="auto" w:fill="auto"/>
          </w:tcPr>
          <w:p w:rsidR="00931CB5" w:rsidRPr="003A3C1D" w:rsidRDefault="00931CB5" w:rsidP="00A0456C">
            <w:pPr>
              <w:jc w:val="both"/>
              <w:rPr>
                <w:bCs/>
                <w:color w:val="000000"/>
              </w:rPr>
            </w:pPr>
            <w:r w:rsidRPr="0097197F">
              <w:rPr>
                <w:bCs/>
                <w:color w:val="000000"/>
              </w:rPr>
              <w:t>Rashodi djelatnosti financira se</w:t>
            </w:r>
            <w:r>
              <w:rPr>
                <w:bCs/>
                <w:color w:val="000000"/>
              </w:rPr>
              <w:t xml:space="preserve"> iz vlastitih prihoda, prihoda za posebne namjene, iz pomoći proračuna koji nam nije nadležan-Grad Omiš, </w:t>
            </w:r>
            <w:r w:rsidRPr="0097197F">
              <w:rPr>
                <w:bCs/>
                <w:color w:val="000000"/>
              </w:rPr>
              <w:t xml:space="preserve"> iz sredstava primljenih od nadležnog proračuna</w:t>
            </w:r>
            <w:r>
              <w:rPr>
                <w:bCs/>
                <w:color w:val="000000"/>
              </w:rPr>
              <w:t xml:space="preserve"> SDŽ</w:t>
            </w:r>
            <w:r w:rsidRPr="0097197F">
              <w:rPr>
                <w:bCs/>
                <w:color w:val="000000"/>
              </w:rPr>
              <w:t>, a čija sredstva</w:t>
            </w:r>
            <w:r>
              <w:rPr>
                <w:bCs/>
                <w:color w:val="000000"/>
              </w:rPr>
              <w:t xml:space="preserve"> </w:t>
            </w:r>
            <w:r w:rsidRPr="0097197F">
              <w:rPr>
                <w:bCs/>
                <w:color w:val="000000"/>
              </w:rPr>
              <w:t>ovise o broju učenika i razrednih odjeljenja, također o stvarnoj potrošnji za energente, zdravstvenih pregleda.  Sredstva se</w:t>
            </w:r>
            <w:r>
              <w:rPr>
                <w:bCs/>
                <w:color w:val="000000"/>
              </w:rPr>
              <w:t xml:space="preserve"> </w:t>
            </w:r>
            <w:r w:rsidRPr="0097197F">
              <w:rPr>
                <w:bCs/>
                <w:color w:val="000000"/>
              </w:rPr>
              <w:t>koriste za podmirenje materijalnih rashoda za svakodnevno neometano održavanje nastave. Program također osim redovnih materijalnih troškova obuhvaća i  isplate plaća, materijalnih prava i ostalih naknada zaposlenima u školi, izvor financiranja je Ministarstvo znanosti i obrazovanja.</w:t>
            </w:r>
          </w:p>
        </w:tc>
      </w:tr>
      <w:tr w:rsidR="00931CB5" w:rsidRPr="003A3C1D" w:rsidTr="00931CB5">
        <w:trPr>
          <w:gridAfter w:val="1"/>
          <w:trHeight w:val="257"/>
        </w:trPr>
        <w:tc>
          <w:tcPr>
            <w:tcW w:w="2240" w:type="dxa"/>
            <w:shd w:val="clear" w:color="auto" w:fill="D9D9D9"/>
          </w:tcPr>
          <w:p w:rsidR="00931CB5" w:rsidRPr="00AC2C3E" w:rsidRDefault="00931CB5" w:rsidP="00A0456C">
            <w:pPr>
              <w:rPr>
                <w:b/>
                <w:bCs/>
                <w:color w:val="000000"/>
                <w:sz w:val="22"/>
                <w:szCs w:val="22"/>
              </w:rPr>
            </w:pPr>
            <w:r w:rsidRPr="00AC2C3E">
              <w:rPr>
                <w:b/>
                <w:bCs/>
                <w:color w:val="000000"/>
                <w:sz w:val="22"/>
                <w:szCs w:val="22"/>
              </w:rPr>
              <w:t>Obrazloženje iz</w:t>
            </w:r>
            <w:r>
              <w:rPr>
                <w:b/>
                <w:bCs/>
                <w:color w:val="000000"/>
                <w:sz w:val="22"/>
                <w:szCs w:val="22"/>
              </w:rPr>
              <w:t>vršenja s ciljevima koji su ostvareni provedbom</w:t>
            </w:r>
            <w:r w:rsidRPr="00AC2C3E">
              <w:rPr>
                <w:b/>
                <w:bCs/>
                <w:color w:val="000000"/>
                <w:sz w:val="22"/>
                <w:szCs w:val="22"/>
              </w:rPr>
              <w:t xml:space="preserve"> </w:t>
            </w:r>
          </w:p>
        </w:tc>
        <w:tc>
          <w:tcPr>
            <w:tcW w:w="6980" w:type="dxa"/>
            <w:gridSpan w:val="6"/>
            <w:shd w:val="clear" w:color="auto" w:fill="auto"/>
          </w:tcPr>
          <w:p w:rsidR="00931CB5" w:rsidRDefault="00931CB5" w:rsidP="00A0456C">
            <w:pPr>
              <w:rPr>
                <w:bCs/>
                <w:color w:val="000000"/>
              </w:rPr>
            </w:pPr>
            <w:r w:rsidRPr="00153605">
              <w:rPr>
                <w:bCs/>
                <w:color w:val="000000"/>
              </w:rPr>
              <w:t>Cilj nam je od dobivenih</w:t>
            </w:r>
            <w:r>
              <w:rPr>
                <w:bCs/>
                <w:color w:val="000000"/>
              </w:rPr>
              <w:t xml:space="preserve"> vrijednosti prihoda podmiriti </w:t>
            </w:r>
            <w:r w:rsidRPr="00153605">
              <w:rPr>
                <w:bCs/>
                <w:color w:val="000000"/>
              </w:rPr>
              <w:t xml:space="preserve"> </w:t>
            </w:r>
            <w:r>
              <w:rPr>
                <w:bCs/>
                <w:color w:val="000000"/>
              </w:rPr>
              <w:t xml:space="preserve">rashode za zaposlene , </w:t>
            </w:r>
            <w:r w:rsidRPr="00153605">
              <w:rPr>
                <w:bCs/>
                <w:color w:val="000000"/>
              </w:rPr>
              <w:t>troškove el. energije te obvezni i preventivni pregledi djelatnika. U rashodima iz kategorije općih  troškova prvo smo planirali „obvezne“  rashode za komunalne  usluge  (voda,  odvoz  smeća), rashode  za  telefon, fotokopiranje  te  uredski  materijal</w:t>
            </w:r>
            <w:r>
              <w:rPr>
                <w:bCs/>
                <w:color w:val="000000"/>
              </w:rPr>
              <w:t>, materijal za higijenske potrebe i sredstva za čišćenje</w:t>
            </w:r>
            <w:r w:rsidRPr="00153605">
              <w:rPr>
                <w:bCs/>
                <w:color w:val="000000"/>
              </w:rPr>
              <w:t xml:space="preserve">.  </w:t>
            </w:r>
            <w:r w:rsidRPr="00153605">
              <w:rPr>
                <w:bCs/>
                <w:color w:val="000000"/>
              </w:rPr>
              <w:lastRenderedPageBreak/>
              <w:t xml:space="preserve">Nakon  toga planiramo ostale troškove prema prioritetima funkcioniranja škole. </w:t>
            </w:r>
          </w:p>
          <w:p w:rsidR="00931CB5" w:rsidRDefault="00931CB5" w:rsidP="00A0456C">
            <w:pPr>
              <w:rPr>
                <w:bCs/>
                <w:color w:val="000000"/>
              </w:rPr>
            </w:pPr>
            <w:r>
              <w:rPr>
                <w:bCs/>
                <w:color w:val="000000"/>
              </w:rPr>
              <w:t xml:space="preserve">U 2023. godini kod rashoda za zaposlene vidljivo je najveće povećanje, a proizlazi </w:t>
            </w:r>
            <w:r w:rsidRPr="00E06C8E">
              <w:rPr>
                <w:bCs/>
                <w:color w:val="000000"/>
              </w:rPr>
              <w:t>povećanja osnovice za obračun plaća zaposlenika, od plaće za lipanj do plaće za prosinac isplaćuje se privremenog dodatka na plaću u bruto iznosu od 98,17 eura mjesečno po zaposleniku, također dolazi i do povećanja božićnice s 232,26 eura na 300,00 eura i regresa sa 199,08 eura na 300,00 eura po zaposleniku. Prosječan broj zaposlenih je 28 osoba, dok je prosječan broj zaposlenih na osnovi sata rada 24 zaposlenika. U odnosu na prethodnu godinu dolazi do povećanja broja zaposlenika za 3,7%, te do povećanja satnica  što je vidljivo iz prosječnog broja zaposlenika na osnovi sata rada gdje dolazi do povećanja za 14,3%.</w:t>
            </w:r>
            <w:r>
              <w:rPr>
                <w:bCs/>
                <w:color w:val="000000"/>
              </w:rPr>
              <w:t xml:space="preserve">  Zapošljavanjem novih djelatnika smanjeni su rashodi za </w:t>
            </w:r>
            <w:r w:rsidRPr="00153605">
              <w:rPr>
                <w:bCs/>
                <w:color w:val="000000"/>
              </w:rPr>
              <w:t xml:space="preserve"> </w:t>
            </w:r>
            <w:r>
              <w:rPr>
                <w:bCs/>
                <w:color w:val="000000"/>
              </w:rPr>
              <w:t xml:space="preserve">podmirenje troškova ugovora o djelu za vanjske suradnike. </w:t>
            </w:r>
          </w:p>
          <w:p w:rsidR="00931CB5" w:rsidRDefault="00931CB5" w:rsidP="00A0456C">
            <w:pPr>
              <w:rPr>
                <w:bCs/>
                <w:color w:val="000000"/>
              </w:rPr>
            </w:pPr>
            <w:r>
              <w:rPr>
                <w:bCs/>
                <w:color w:val="000000"/>
              </w:rPr>
              <w:t xml:space="preserve">Izvršenje 2023. u aktivnosti RASHODI DJELATNOSI iz izvora: </w:t>
            </w:r>
          </w:p>
          <w:p w:rsidR="00931CB5" w:rsidRDefault="00931CB5" w:rsidP="00931CB5">
            <w:pPr>
              <w:numPr>
                <w:ilvl w:val="0"/>
                <w:numId w:val="4"/>
              </w:numPr>
              <w:rPr>
                <w:bCs/>
                <w:color w:val="000000"/>
              </w:rPr>
            </w:pPr>
            <w:r>
              <w:rPr>
                <w:bCs/>
                <w:color w:val="000000"/>
              </w:rPr>
              <w:t>Vlastitih prihoda- realizirano je 1%.Od planiranih 1,00 euro  ostvareno je 0,06 eura, utrošeno je na bankarske usluge i usluge platnog prometa.</w:t>
            </w:r>
          </w:p>
          <w:p w:rsidR="00931CB5" w:rsidRDefault="00931CB5" w:rsidP="00931CB5">
            <w:pPr>
              <w:numPr>
                <w:ilvl w:val="0"/>
                <w:numId w:val="4"/>
              </w:numPr>
              <w:rPr>
                <w:bCs/>
                <w:color w:val="000000"/>
              </w:rPr>
            </w:pPr>
            <w:r>
              <w:rPr>
                <w:bCs/>
                <w:color w:val="000000"/>
              </w:rPr>
              <w:t>Prihoda za posebne namjene-Decentralizacija- promatrajući rebalans 2023. realizirano je 100%  planiranih rashoda što iznosi 35.884,00 eura , a utrošeni su na materijalne rashode</w:t>
            </w:r>
          </w:p>
          <w:p w:rsidR="00931CB5" w:rsidRDefault="00931CB5" w:rsidP="00931CB5">
            <w:pPr>
              <w:numPr>
                <w:ilvl w:val="0"/>
                <w:numId w:val="4"/>
              </w:numPr>
              <w:rPr>
                <w:bCs/>
                <w:color w:val="000000"/>
              </w:rPr>
            </w:pPr>
            <w:r>
              <w:rPr>
                <w:bCs/>
                <w:color w:val="000000"/>
              </w:rPr>
              <w:t>Prihoda za posebne namjene proračunskih korisnika-  vidljivo je povećanje rashoda od 17,08% u odnosu na rebalans 2023. Vidljivo je smanjenje na rashodima za zaposlene. Od planiranih 1000,00 eura realizirano je 96,93 eura što je smanjenje od 90,31%. Kod materijalnih rashoda vidljivo je povećanje u iznosu od 5.210,95 eura, od planiranih 24.950,00 eura realizirano je 28</w:t>
            </w:r>
            <w:r w:rsidR="00C86A35">
              <w:rPr>
                <w:bCs/>
                <w:color w:val="000000"/>
              </w:rPr>
              <w:t>.</w:t>
            </w:r>
            <w:r>
              <w:rPr>
                <w:bCs/>
                <w:color w:val="000000"/>
              </w:rPr>
              <w:t>360,95 eura što je 22,51 % više u odnosu na rebalans 2023. Kod financijskih rashoda realizacija 94,34 %</w:t>
            </w:r>
          </w:p>
          <w:p w:rsidR="00931CB5" w:rsidRDefault="00931CB5" w:rsidP="00931CB5">
            <w:pPr>
              <w:numPr>
                <w:ilvl w:val="0"/>
                <w:numId w:val="4"/>
              </w:numPr>
              <w:rPr>
                <w:bCs/>
                <w:color w:val="000000"/>
              </w:rPr>
            </w:pPr>
            <w:r>
              <w:rPr>
                <w:bCs/>
                <w:color w:val="000000"/>
              </w:rPr>
              <w:t xml:space="preserve">Pomoć proračunskim korisnicima- vidljiva nam je realizacija rashoda za zaposlene 98,41%, dok kod materijalnih rashoda iznosi 92,96%. </w:t>
            </w:r>
          </w:p>
          <w:p w:rsidR="00931CB5" w:rsidRDefault="00931CB5" w:rsidP="00931CB5">
            <w:pPr>
              <w:numPr>
                <w:ilvl w:val="0"/>
                <w:numId w:val="4"/>
              </w:numPr>
              <w:rPr>
                <w:bCs/>
                <w:color w:val="000000"/>
              </w:rPr>
            </w:pPr>
            <w:r>
              <w:rPr>
                <w:bCs/>
                <w:color w:val="000000"/>
              </w:rPr>
              <w:t>Pomoć proračunskim korisnicima-prenesena sredstva- odnose na plaću za spremačicu za 12</w:t>
            </w:r>
            <w:r w:rsidR="00C86A35">
              <w:rPr>
                <w:bCs/>
                <w:color w:val="000000"/>
              </w:rPr>
              <w:t>.</w:t>
            </w:r>
            <w:r>
              <w:rPr>
                <w:bCs/>
                <w:color w:val="000000"/>
              </w:rPr>
              <w:t>/2022</w:t>
            </w:r>
            <w:r w:rsidR="00C86A35">
              <w:rPr>
                <w:bCs/>
                <w:color w:val="000000"/>
              </w:rPr>
              <w:t>.</w:t>
            </w:r>
            <w:r>
              <w:rPr>
                <w:bCs/>
                <w:color w:val="000000"/>
              </w:rPr>
              <w:t xml:space="preserve">, a koja su </w:t>
            </w:r>
            <w:r w:rsidR="00C86A35">
              <w:rPr>
                <w:bCs/>
                <w:color w:val="000000"/>
              </w:rPr>
              <w:t xml:space="preserve">u potpunosti </w:t>
            </w:r>
            <w:r>
              <w:rPr>
                <w:bCs/>
                <w:color w:val="000000"/>
              </w:rPr>
              <w:t>realizirana  u siječnju 2023 .</w:t>
            </w:r>
          </w:p>
          <w:p w:rsidR="00931CB5" w:rsidRPr="003A3C1D" w:rsidRDefault="00931CB5" w:rsidP="00A0456C">
            <w:pPr>
              <w:rPr>
                <w:bCs/>
                <w:color w:val="000000"/>
              </w:rPr>
            </w:pPr>
          </w:p>
        </w:tc>
      </w:tr>
      <w:tr w:rsidR="00931CB5" w:rsidRPr="003A3C1D" w:rsidTr="00A0456C">
        <w:trPr>
          <w:gridAfter w:val="1"/>
          <w:trHeight w:val="257"/>
        </w:trPr>
        <w:tc>
          <w:tcPr>
            <w:tcW w:w="0" w:type="auto"/>
            <w:gridSpan w:val="7"/>
            <w:shd w:val="clear" w:color="auto" w:fill="FFFFFF"/>
          </w:tcPr>
          <w:tbl>
            <w:tblPr>
              <w:tblW w:w="4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19"/>
              <w:gridCol w:w="1758"/>
            </w:tblGrid>
            <w:tr w:rsidR="00931CB5" w:rsidRPr="0033683A" w:rsidTr="00A0456C">
              <w:trPr>
                <w:trHeight w:val="192"/>
              </w:trPr>
              <w:tc>
                <w:tcPr>
                  <w:tcW w:w="1940" w:type="pct"/>
                  <w:shd w:val="clear" w:color="auto" w:fill="F2F2F2"/>
                </w:tcPr>
                <w:p w:rsidR="00931CB5" w:rsidRPr="00AC2C3E" w:rsidRDefault="00931CB5" w:rsidP="00A0456C">
                  <w:pPr>
                    <w:jc w:val="center"/>
                    <w:rPr>
                      <w:b/>
                      <w:bCs/>
                      <w:color w:val="000000"/>
                      <w:sz w:val="22"/>
                      <w:szCs w:val="22"/>
                    </w:rPr>
                  </w:pPr>
                  <w:r w:rsidRPr="00D55D1F">
                    <w:rPr>
                      <w:b/>
                      <w:bCs/>
                      <w:color w:val="000000"/>
                      <w:sz w:val="20"/>
                      <w:szCs w:val="20"/>
                    </w:rPr>
                    <w:lastRenderedPageBreak/>
                    <w:t>P</w:t>
                  </w:r>
                  <w:r>
                    <w:rPr>
                      <w:b/>
                      <w:bCs/>
                      <w:color w:val="000000"/>
                      <w:sz w:val="20"/>
                      <w:szCs w:val="20"/>
                    </w:rPr>
                    <w:t xml:space="preserve">lan </w:t>
                  </w:r>
                  <w:r w:rsidRPr="00D55D1F">
                    <w:rPr>
                      <w:b/>
                      <w:bCs/>
                      <w:color w:val="000000"/>
                      <w:sz w:val="20"/>
                      <w:szCs w:val="20"/>
                    </w:rPr>
                    <w:t>202</w:t>
                  </w:r>
                  <w:r>
                    <w:rPr>
                      <w:b/>
                      <w:bCs/>
                      <w:color w:val="000000"/>
                      <w:sz w:val="20"/>
                      <w:szCs w:val="20"/>
                    </w:rPr>
                    <w:t>3</w:t>
                  </w:r>
                  <w:r w:rsidRPr="00D55D1F">
                    <w:rPr>
                      <w:b/>
                      <w:bCs/>
                      <w:color w:val="000000"/>
                      <w:sz w:val="20"/>
                      <w:szCs w:val="20"/>
                    </w:rPr>
                    <w:t>.</w:t>
                  </w:r>
                </w:p>
              </w:tc>
              <w:tc>
                <w:tcPr>
                  <w:tcW w:w="1934" w:type="pct"/>
                  <w:shd w:val="clear" w:color="auto" w:fill="F2F2F2"/>
                </w:tcPr>
                <w:p w:rsidR="00931CB5" w:rsidRPr="00AC2C3E" w:rsidRDefault="00931CB5" w:rsidP="00A0456C">
                  <w:pPr>
                    <w:jc w:val="center"/>
                    <w:rPr>
                      <w:b/>
                      <w:bCs/>
                      <w:color w:val="000000"/>
                      <w:sz w:val="22"/>
                      <w:szCs w:val="22"/>
                    </w:rPr>
                  </w:pPr>
                  <w:r>
                    <w:rPr>
                      <w:b/>
                      <w:bCs/>
                      <w:color w:val="000000"/>
                      <w:sz w:val="20"/>
                      <w:szCs w:val="20"/>
                    </w:rPr>
                    <w:t>Realizirano</w:t>
                  </w:r>
                  <w:r w:rsidRPr="00D55D1F">
                    <w:rPr>
                      <w:b/>
                      <w:bCs/>
                      <w:color w:val="000000"/>
                      <w:sz w:val="20"/>
                      <w:szCs w:val="20"/>
                    </w:rPr>
                    <w:t xml:space="preserve"> </w:t>
                  </w:r>
                  <w:r>
                    <w:rPr>
                      <w:b/>
                      <w:bCs/>
                      <w:color w:val="000000"/>
                      <w:sz w:val="20"/>
                      <w:szCs w:val="20"/>
                    </w:rPr>
                    <w:br/>
                    <w:t xml:space="preserve">siječanj – prosinac </w:t>
                  </w:r>
                  <w:r w:rsidRPr="00D55D1F">
                    <w:rPr>
                      <w:b/>
                      <w:bCs/>
                      <w:color w:val="000000"/>
                      <w:sz w:val="20"/>
                      <w:szCs w:val="20"/>
                    </w:rPr>
                    <w:t>202</w:t>
                  </w:r>
                  <w:r>
                    <w:rPr>
                      <w:b/>
                      <w:bCs/>
                      <w:color w:val="000000"/>
                      <w:sz w:val="20"/>
                      <w:szCs w:val="20"/>
                    </w:rPr>
                    <w:t>3.</w:t>
                  </w:r>
                </w:p>
              </w:tc>
              <w:tc>
                <w:tcPr>
                  <w:tcW w:w="1126" w:type="pct"/>
                  <w:shd w:val="clear" w:color="auto" w:fill="F2F2F2"/>
                </w:tcPr>
                <w:p w:rsidR="00931CB5" w:rsidRPr="00AC2C3E" w:rsidRDefault="00931CB5" w:rsidP="00A0456C">
                  <w:pPr>
                    <w:jc w:val="center"/>
                    <w:rPr>
                      <w:b/>
                      <w:bCs/>
                      <w:color w:val="000000"/>
                      <w:sz w:val="22"/>
                      <w:szCs w:val="22"/>
                    </w:rPr>
                  </w:pPr>
                  <w:r>
                    <w:rPr>
                      <w:b/>
                      <w:bCs/>
                      <w:color w:val="000000"/>
                      <w:sz w:val="20"/>
                      <w:szCs w:val="20"/>
                    </w:rPr>
                    <w:t>Indeks</w:t>
                  </w:r>
                </w:p>
              </w:tc>
            </w:tr>
            <w:tr w:rsidR="00931CB5" w:rsidRPr="00955E35" w:rsidTr="00A0456C">
              <w:trPr>
                <w:trHeight w:val="192"/>
              </w:trPr>
              <w:tc>
                <w:tcPr>
                  <w:tcW w:w="1940"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726833,85 €</w:t>
                  </w:r>
                </w:p>
              </w:tc>
              <w:tc>
                <w:tcPr>
                  <w:tcW w:w="1934"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717552,06 €</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31CB5" w:rsidRPr="00B41766" w:rsidRDefault="00931CB5" w:rsidP="00A0456C">
                  <w:pPr>
                    <w:jc w:val="right"/>
                    <w:rPr>
                      <w:bCs/>
                      <w:color w:val="000000"/>
                      <w:sz w:val="22"/>
                      <w:szCs w:val="22"/>
                    </w:rPr>
                  </w:pPr>
                  <w:r>
                    <w:rPr>
                      <w:bCs/>
                      <w:color w:val="000000"/>
                      <w:sz w:val="22"/>
                      <w:szCs w:val="22"/>
                    </w:rPr>
                    <w:t>98,7 %</w:t>
                  </w:r>
                </w:p>
              </w:tc>
            </w:tr>
          </w:tbl>
          <w:p w:rsidR="00931CB5" w:rsidRPr="003A3C1D" w:rsidRDefault="00931CB5" w:rsidP="00A0456C">
            <w:pPr>
              <w:rPr>
                <w:bCs/>
                <w:color w:val="000000"/>
              </w:rPr>
            </w:pPr>
          </w:p>
        </w:tc>
      </w:tr>
      <w:tr w:rsidR="00931CB5" w:rsidRPr="00466EA6" w:rsidTr="00A0456C">
        <w:tblPrEx>
          <w:tblLook w:val="04A0" w:firstRow="1" w:lastRow="0" w:firstColumn="1" w:lastColumn="0" w:noHBand="0" w:noVBand="1"/>
        </w:tblPrEx>
        <w:trPr>
          <w:trHeight w:val="566"/>
        </w:trPr>
        <w:tc>
          <w:tcPr>
            <w:tcW w:w="0" w:type="auto"/>
            <w:shd w:val="clear" w:color="auto" w:fill="D9D9D9"/>
          </w:tcPr>
          <w:p w:rsidR="00931CB5" w:rsidRPr="00AD6019" w:rsidRDefault="00931CB5" w:rsidP="00A0456C">
            <w:pPr>
              <w:rPr>
                <w:b/>
                <w:sz w:val="20"/>
                <w:szCs w:val="20"/>
              </w:rPr>
            </w:pPr>
            <w:r w:rsidRPr="00AD6019">
              <w:rPr>
                <w:b/>
                <w:sz w:val="20"/>
                <w:szCs w:val="20"/>
              </w:rPr>
              <w:lastRenderedPageBreak/>
              <w:t xml:space="preserve">Pokazatelj </w:t>
            </w:r>
            <w:r>
              <w:rPr>
                <w:b/>
                <w:sz w:val="20"/>
                <w:szCs w:val="20"/>
              </w:rPr>
              <w:t>rezultata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Definicija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Jedinica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Polazna vrijednost 202</w:t>
            </w:r>
            <w:r>
              <w:rPr>
                <w:b/>
                <w:sz w:val="20"/>
                <w:szCs w:val="20"/>
              </w:rPr>
              <w:t>3</w:t>
            </w:r>
            <w:r w:rsidRPr="00AD6019">
              <w:rPr>
                <w:b/>
                <w:sz w:val="20"/>
                <w:szCs w:val="20"/>
              </w:rPr>
              <w:t>.</w:t>
            </w:r>
          </w:p>
        </w:tc>
        <w:tc>
          <w:tcPr>
            <w:tcW w:w="0" w:type="auto"/>
            <w:shd w:val="clear" w:color="auto" w:fill="D9D9D9"/>
          </w:tcPr>
          <w:p w:rsidR="00931CB5" w:rsidRPr="00AD6019" w:rsidRDefault="00931CB5" w:rsidP="00A0456C">
            <w:pPr>
              <w:jc w:val="center"/>
              <w:rPr>
                <w:b/>
                <w:sz w:val="20"/>
                <w:szCs w:val="20"/>
              </w:rPr>
            </w:pPr>
            <w:r>
              <w:rPr>
                <w:b/>
                <w:sz w:val="20"/>
                <w:szCs w:val="20"/>
              </w:rPr>
              <w:t>Izvor podataka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Ciljana vrijednost 202</w:t>
            </w:r>
            <w:r>
              <w:rPr>
                <w:b/>
                <w:sz w:val="20"/>
                <w:szCs w:val="20"/>
              </w:rPr>
              <w:t>3</w:t>
            </w:r>
            <w:r w:rsidRPr="00AD6019">
              <w:rPr>
                <w:b/>
                <w:sz w:val="20"/>
                <w:szCs w:val="20"/>
              </w:rPr>
              <w:t>.</w:t>
            </w:r>
          </w:p>
        </w:tc>
        <w:tc>
          <w:tcPr>
            <w:tcW w:w="0" w:type="auto"/>
            <w:gridSpan w:val="2"/>
            <w:shd w:val="clear" w:color="auto" w:fill="D9D9D9"/>
          </w:tcPr>
          <w:p w:rsidR="00931CB5" w:rsidRPr="00AD6019" w:rsidRDefault="00931CB5" w:rsidP="00A0456C">
            <w:pPr>
              <w:jc w:val="center"/>
              <w:rPr>
                <w:b/>
                <w:sz w:val="20"/>
                <w:szCs w:val="20"/>
              </w:rPr>
            </w:pPr>
            <w:r>
              <w:rPr>
                <w:b/>
                <w:sz w:val="20"/>
                <w:szCs w:val="20"/>
              </w:rPr>
              <w:t xml:space="preserve">Ostvarena </w:t>
            </w:r>
            <w:r w:rsidRPr="00AD6019">
              <w:rPr>
                <w:b/>
                <w:sz w:val="20"/>
                <w:szCs w:val="20"/>
              </w:rPr>
              <w:t>vrijednost 202</w:t>
            </w:r>
            <w:r>
              <w:rPr>
                <w:b/>
                <w:sz w:val="20"/>
                <w:szCs w:val="20"/>
              </w:rPr>
              <w:t>3</w:t>
            </w:r>
            <w:r w:rsidRPr="00AD6019">
              <w:rPr>
                <w:b/>
                <w:sz w:val="20"/>
                <w:szCs w:val="20"/>
              </w:rPr>
              <w:t>.</w:t>
            </w:r>
          </w:p>
        </w:tc>
      </w:tr>
      <w:tr w:rsidR="00931CB5" w:rsidTr="00A0456C">
        <w:tblPrEx>
          <w:tblLook w:val="04A0" w:firstRow="1" w:lastRow="0" w:firstColumn="1" w:lastColumn="0" w:noHBand="0" w:noVBand="1"/>
        </w:tblPrEx>
        <w:trPr>
          <w:trHeight w:val="190"/>
        </w:trPr>
        <w:tc>
          <w:tcPr>
            <w:tcW w:w="0" w:type="auto"/>
            <w:shd w:val="clear" w:color="auto" w:fill="auto"/>
          </w:tcPr>
          <w:p w:rsidR="00931CB5" w:rsidRPr="00E726D3" w:rsidRDefault="00931CB5" w:rsidP="00A0456C">
            <w:pPr>
              <w:rPr>
                <w:sz w:val="14"/>
                <w:szCs w:val="14"/>
              </w:rPr>
            </w:pPr>
            <w:r w:rsidRPr="00E726D3">
              <w:rPr>
                <w:sz w:val="14"/>
                <w:szCs w:val="14"/>
              </w:rPr>
              <w:t>Broj zaposlenih na osnovi sati rada</w:t>
            </w:r>
          </w:p>
        </w:tc>
        <w:tc>
          <w:tcPr>
            <w:tcW w:w="0" w:type="auto"/>
            <w:shd w:val="clear" w:color="auto" w:fill="auto"/>
          </w:tcPr>
          <w:p w:rsidR="00931CB5" w:rsidRPr="00E726D3" w:rsidRDefault="00931CB5" w:rsidP="00A0456C">
            <w:pPr>
              <w:rPr>
                <w:sz w:val="14"/>
                <w:szCs w:val="14"/>
              </w:rPr>
            </w:pPr>
            <w:r w:rsidRPr="00E726D3">
              <w:rPr>
                <w:sz w:val="14"/>
                <w:szCs w:val="14"/>
              </w:rPr>
              <w:t>Povećanje broja zaposlenih</w:t>
            </w:r>
          </w:p>
        </w:tc>
        <w:tc>
          <w:tcPr>
            <w:tcW w:w="0" w:type="auto"/>
          </w:tcPr>
          <w:p w:rsidR="00931CB5" w:rsidRPr="00E726D3" w:rsidRDefault="00931CB5" w:rsidP="00A0456C">
            <w:pPr>
              <w:rPr>
                <w:sz w:val="14"/>
                <w:szCs w:val="14"/>
              </w:rPr>
            </w:pPr>
            <w:r w:rsidRPr="00E726D3">
              <w:rPr>
                <w:sz w:val="14"/>
                <w:szCs w:val="14"/>
              </w:rPr>
              <w:t>Broj</w:t>
            </w:r>
          </w:p>
          <w:p w:rsidR="00931CB5" w:rsidRPr="00E726D3" w:rsidRDefault="00931CB5" w:rsidP="00A0456C">
            <w:pPr>
              <w:rPr>
                <w:sz w:val="14"/>
                <w:szCs w:val="14"/>
              </w:rPr>
            </w:pPr>
            <w:r w:rsidRPr="00E726D3">
              <w:rPr>
                <w:sz w:val="14"/>
                <w:szCs w:val="14"/>
              </w:rPr>
              <w:t>zaposlenih</w:t>
            </w:r>
          </w:p>
        </w:tc>
        <w:tc>
          <w:tcPr>
            <w:tcW w:w="0" w:type="auto"/>
            <w:shd w:val="clear" w:color="auto" w:fill="auto"/>
          </w:tcPr>
          <w:p w:rsidR="00931CB5" w:rsidRPr="00E726D3" w:rsidRDefault="00931CB5" w:rsidP="00A0456C">
            <w:pPr>
              <w:rPr>
                <w:sz w:val="14"/>
                <w:szCs w:val="14"/>
              </w:rPr>
            </w:pPr>
            <w:r w:rsidRPr="00E726D3">
              <w:rPr>
                <w:sz w:val="14"/>
                <w:szCs w:val="14"/>
              </w:rPr>
              <w:t>21</w:t>
            </w:r>
          </w:p>
        </w:tc>
        <w:tc>
          <w:tcPr>
            <w:tcW w:w="0" w:type="auto"/>
          </w:tcPr>
          <w:p w:rsidR="00931CB5" w:rsidRPr="00E726D3" w:rsidRDefault="00931CB5" w:rsidP="00A0456C">
            <w:pPr>
              <w:rPr>
                <w:sz w:val="14"/>
                <w:szCs w:val="14"/>
              </w:rPr>
            </w:pPr>
            <w:r w:rsidRPr="00E726D3">
              <w:rPr>
                <w:sz w:val="14"/>
                <w:szCs w:val="14"/>
              </w:rPr>
              <w:t>škola</w:t>
            </w:r>
          </w:p>
        </w:tc>
        <w:tc>
          <w:tcPr>
            <w:tcW w:w="0" w:type="auto"/>
            <w:shd w:val="clear" w:color="auto" w:fill="auto"/>
          </w:tcPr>
          <w:p w:rsidR="00931CB5" w:rsidRPr="00E726D3" w:rsidRDefault="00931CB5" w:rsidP="00A0456C">
            <w:pPr>
              <w:rPr>
                <w:sz w:val="14"/>
                <w:szCs w:val="14"/>
              </w:rPr>
            </w:pPr>
            <w:r w:rsidRPr="00E726D3">
              <w:rPr>
                <w:sz w:val="14"/>
                <w:szCs w:val="14"/>
              </w:rPr>
              <w:t>25</w:t>
            </w:r>
          </w:p>
        </w:tc>
        <w:tc>
          <w:tcPr>
            <w:tcW w:w="0" w:type="auto"/>
            <w:gridSpan w:val="2"/>
          </w:tcPr>
          <w:p w:rsidR="00931CB5" w:rsidRPr="00E726D3" w:rsidRDefault="00931CB5" w:rsidP="00A0456C">
            <w:pPr>
              <w:rPr>
                <w:sz w:val="14"/>
                <w:szCs w:val="14"/>
              </w:rPr>
            </w:pPr>
            <w:r w:rsidRPr="00E726D3">
              <w:rPr>
                <w:sz w:val="14"/>
                <w:szCs w:val="14"/>
              </w:rPr>
              <w:t>24</w:t>
            </w:r>
          </w:p>
        </w:tc>
      </w:tr>
      <w:tr w:rsidR="00931CB5" w:rsidRPr="00761DCB" w:rsidTr="00A0456C">
        <w:tblPrEx>
          <w:tblLook w:val="04A0" w:firstRow="1" w:lastRow="0" w:firstColumn="1" w:lastColumn="0" w:noHBand="0" w:noVBand="1"/>
        </w:tblPrEx>
        <w:trPr>
          <w:trHeight w:val="190"/>
        </w:trPr>
        <w:tc>
          <w:tcPr>
            <w:tcW w:w="0" w:type="auto"/>
            <w:shd w:val="clear" w:color="auto" w:fill="auto"/>
          </w:tcPr>
          <w:p w:rsidR="00931CB5" w:rsidRPr="00E726D3" w:rsidRDefault="00931CB5" w:rsidP="00A0456C">
            <w:pPr>
              <w:rPr>
                <w:sz w:val="14"/>
                <w:szCs w:val="14"/>
              </w:rPr>
            </w:pPr>
            <w:r w:rsidRPr="00E726D3">
              <w:rPr>
                <w:sz w:val="14"/>
                <w:szCs w:val="14"/>
              </w:rPr>
              <w:t xml:space="preserve">Prosječan broj zaposlenih </w:t>
            </w:r>
          </w:p>
        </w:tc>
        <w:tc>
          <w:tcPr>
            <w:tcW w:w="0" w:type="auto"/>
            <w:shd w:val="clear" w:color="auto" w:fill="auto"/>
          </w:tcPr>
          <w:p w:rsidR="00931CB5" w:rsidRPr="00E726D3" w:rsidRDefault="00931CB5" w:rsidP="00A0456C">
            <w:pPr>
              <w:rPr>
                <w:sz w:val="14"/>
                <w:szCs w:val="14"/>
              </w:rPr>
            </w:pPr>
            <w:r w:rsidRPr="00E726D3">
              <w:rPr>
                <w:sz w:val="14"/>
                <w:szCs w:val="14"/>
              </w:rPr>
              <w:t>Povećanje broja zaposlenih</w:t>
            </w:r>
          </w:p>
        </w:tc>
        <w:tc>
          <w:tcPr>
            <w:tcW w:w="0" w:type="auto"/>
          </w:tcPr>
          <w:p w:rsidR="00931CB5" w:rsidRPr="00E726D3" w:rsidRDefault="00931CB5" w:rsidP="00A0456C">
            <w:pPr>
              <w:rPr>
                <w:sz w:val="14"/>
                <w:szCs w:val="14"/>
              </w:rPr>
            </w:pPr>
            <w:r w:rsidRPr="00E726D3">
              <w:rPr>
                <w:sz w:val="14"/>
                <w:szCs w:val="14"/>
              </w:rPr>
              <w:t>Broj zaposlenih</w:t>
            </w:r>
          </w:p>
        </w:tc>
        <w:tc>
          <w:tcPr>
            <w:tcW w:w="0" w:type="auto"/>
            <w:shd w:val="clear" w:color="auto" w:fill="auto"/>
          </w:tcPr>
          <w:p w:rsidR="00931CB5" w:rsidRPr="00E726D3" w:rsidRDefault="00931CB5" w:rsidP="00A0456C">
            <w:pPr>
              <w:rPr>
                <w:sz w:val="14"/>
                <w:szCs w:val="14"/>
              </w:rPr>
            </w:pPr>
            <w:r w:rsidRPr="00E726D3">
              <w:rPr>
                <w:sz w:val="14"/>
                <w:szCs w:val="14"/>
              </w:rPr>
              <w:t>27</w:t>
            </w:r>
          </w:p>
        </w:tc>
        <w:tc>
          <w:tcPr>
            <w:tcW w:w="0" w:type="auto"/>
          </w:tcPr>
          <w:p w:rsidR="00931CB5" w:rsidRPr="00E726D3" w:rsidRDefault="00931CB5" w:rsidP="00A0456C">
            <w:pPr>
              <w:rPr>
                <w:sz w:val="14"/>
                <w:szCs w:val="14"/>
              </w:rPr>
            </w:pPr>
            <w:r w:rsidRPr="00E726D3">
              <w:rPr>
                <w:sz w:val="14"/>
                <w:szCs w:val="14"/>
              </w:rPr>
              <w:t>škola</w:t>
            </w:r>
          </w:p>
        </w:tc>
        <w:tc>
          <w:tcPr>
            <w:tcW w:w="0" w:type="auto"/>
            <w:shd w:val="clear" w:color="auto" w:fill="auto"/>
          </w:tcPr>
          <w:p w:rsidR="00931CB5" w:rsidRPr="00E726D3" w:rsidRDefault="00931CB5" w:rsidP="00A0456C">
            <w:pPr>
              <w:rPr>
                <w:sz w:val="14"/>
                <w:szCs w:val="14"/>
              </w:rPr>
            </w:pPr>
            <w:r w:rsidRPr="00E726D3">
              <w:rPr>
                <w:sz w:val="14"/>
                <w:szCs w:val="14"/>
              </w:rPr>
              <w:t>29</w:t>
            </w:r>
          </w:p>
        </w:tc>
        <w:tc>
          <w:tcPr>
            <w:tcW w:w="0" w:type="auto"/>
            <w:gridSpan w:val="2"/>
          </w:tcPr>
          <w:p w:rsidR="00931CB5" w:rsidRPr="00E726D3" w:rsidRDefault="00931CB5" w:rsidP="00A0456C">
            <w:pPr>
              <w:rPr>
                <w:sz w:val="14"/>
                <w:szCs w:val="14"/>
              </w:rPr>
            </w:pPr>
            <w:r w:rsidRPr="00E726D3">
              <w:rPr>
                <w:sz w:val="14"/>
                <w:szCs w:val="14"/>
              </w:rPr>
              <w:t>28</w:t>
            </w:r>
          </w:p>
        </w:tc>
      </w:tr>
      <w:tr w:rsidR="00931CB5" w:rsidTr="00931CB5">
        <w:tblPrEx>
          <w:tblLook w:val="04A0" w:firstRow="1" w:lastRow="0" w:firstColumn="1" w:lastColumn="0" w:noHBand="0" w:noVBand="1"/>
        </w:tblPrEx>
        <w:trPr>
          <w:trHeight w:val="190"/>
        </w:trPr>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C84E24" w:rsidRDefault="00931CB5" w:rsidP="00A0456C">
            <w:pPr>
              <w:rPr>
                <w:sz w:val="14"/>
                <w:szCs w:val="14"/>
              </w:rPr>
            </w:pPr>
            <w:r>
              <w:rPr>
                <w:sz w:val="14"/>
                <w:szCs w:val="14"/>
              </w:rPr>
              <w:t>Povećanje broja upisanih učenika koji završe 6. razreda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C84E24" w:rsidRDefault="00931CB5" w:rsidP="00A0456C">
            <w:pPr>
              <w:rPr>
                <w:sz w:val="14"/>
                <w:szCs w:val="14"/>
              </w:rPr>
            </w:pPr>
            <w:r>
              <w:rPr>
                <w:sz w:val="14"/>
                <w:szCs w:val="14"/>
              </w:rPr>
              <w:t>Smanjenje broja ispisanih učenika</w:t>
            </w:r>
          </w:p>
        </w:tc>
        <w:tc>
          <w:tcPr>
            <w:tcW w:w="0" w:type="auto"/>
            <w:tcBorders>
              <w:top w:val="single" w:sz="4" w:space="0" w:color="auto"/>
              <w:left w:val="single" w:sz="4" w:space="0" w:color="auto"/>
              <w:bottom w:val="single" w:sz="4" w:space="0" w:color="auto"/>
              <w:right w:val="single" w:sz="4" w:space="0" w:color="auto"/>
            </w:tcBorders>
          </w:tcPr>
          <w:p w:rsidR="00931CB5" w:rsidRPr="00E02F75" w:rsidRDefault="00931CB5" w:rsidP="00A0456C">
            <w:pPr>
              <w:rPr>
                <w:sz w:val="14"/>
                <w:szCs w:val="14"/>
              </w:rPr>
            </w:pPr>
            <w:r>
              <w:rPr>
                <w:sz w:val="14"/>
                <w:szCs w:val="14"/>
              </w:rPr>
              <w:t>Broj učenika koji su završili  osnovno školstvo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931CB5" w:rsidRDefault="00931CB5" w:rsidP="00A0456C">
            <w:pPr>
              <w:rPr>
                <w:sz w:val="14"/>
                <w:szCs w:val="14"/>
              </w:rPr>
            </w:pPr>
            <w:r>
              <w:rPr>
                <w:sz w:val="14"/>
                <w:szCs w:val="14"/>
              </w:rPr>
              <w:t>18</w:t>
            </w:r>
          </w:p>
        </w:tc>
        <w:tc>
          <w:tcPr>
            <w:tcW w:w="0" w:type="auto"/>
            <w:tcBorders>
              <w:top w:val="single" w:sz="4" w:space="0" w:color="auto"/>
              <w:left w:val="single" w:sz="4" w:space="0" w:color="auto"/>
              <w:bottom w:val="single" w:sz="4" w:space="0" w:color="auto"/>
              <w:right w:val="single" w:sz="4" w:space="0" w:color="auto"/>
            </w:tcBorders>
          </w:tcPr>
          <w:p w:rsidR="00931CB5" w:rsidRPr="00E02F75" w:rsidRDefault="00931CB5" w:rsidP="00A0456C">
            <w:pPr>
              <w:rPr>
                <w:sz w:val="14"/>
                <w:szCs w:val="14"/>
              </w:rPr>
            </w:pPr>
            <w:r>
              <w:rPr>
                <w:sz w:val="14"/>
                <w:szCs w:val="14"/>
              </w:rPr>
              <w:t>e-matica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E02F75" w:rsidRDefault="00931CB5" w:rsidP="00A0456C">
            <w:pPr>
              <w:rPr>
                <w:sz w:val="14"/>
                <w:szCs w:val="14"/>
              </w:rPr>
            </w:pPr>
            <w:r>
              <w:rPr>
                <w:sz w:val="14"/>
                <w:szCs w:val="14"/>
              </w:rPr>
              <w:t>18</w:t>
            </w:r>
          </w:p>
        </w:tc>
        <w:tc>
          <w:tcPr>
            <w:tcW w:w="0" w:type="auto"/>
            <w:gridSpan w:val="2"/>
            <w:tcBorders>
              <w:top w:val="single" w:sz="4" w:space="0" w:color="auto"/>
              <w:left w:val="single" w:sz="4" w:space="0" w:color="auto"/>
              <w:bottom w:val="single" w:sz="4" w:space="0" w:color="auto"/>
              <w:right w:val="single" w:sz="4" w:space="0" w:color="auto"/>
            </w:tcBorders>
          </w:tcPr>
          <w:p w:rsidR="00931CB5" w:rsidRPr="00763F37" w:rsidRDefault="00931CB5" w:rsidP="00A0456C">
            <w:pPr>
              <w:rPr>
                <w:sz w:val="14"/>
                <w:szCs w:val="14"/>
              </w:rPr>
            </w:pPr>
            <w:r>
              <w:rPr>
                <w:sz w:val="14"/>
                <w:szCs w:val="14"/>
              </w:rPr>
              <w:t>18</w:t>
            </w:r>
          </w:p>
        </w:tc>
      </w:tr>
      <w:tr w:rsidR="00931CB5" w:rsidTr="00931CB5">
        <w:tblPrEx>
          <w:tblLook w:val="04A0" w:firstRow="1" w:lastRow="0" w:firstColumn="1" w:lastColumn="0" w:noHBand="0" w:noVBand="1"/>
        </w:tblPrEx>
        <w:trPr>
          <w:trHeight w:val="190"/>
        </w:trPr>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E02F75" w:rsidRDefault="00931CB5" w:rsidP="00A0456C">
            <w:pPr>
              <w:rPr>
                <w:sz w:val="14"/>
                <w:szCs w:val="14"/>
              </w:rPr>
            </w:pPr>
            <w:r w:rsidRPr="00E02F75">
              <w:rPr>
                <w:sz w:val="14"/>
                <w:szCs w:val="14"/>
              </w:rPr>
              <w:t>Povećanje broja učenika koji će nakon završene osnovne škole upisati srednju školu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E02F75" w:rsidRDefault="00931CB5" w:rsidP="00A0456C">
            <w:pPr>
              <w:rPr>
                <w:sz w:val="14"/>
                <w:szCs w:val="14"/>
              </w:rPr>
            </w:pPr>
            <w:r>
              <w:rPr>
                <w:sz w:val="14"/>
                <w:szCs w:val="14"/>
              </w:rPr>
              <w:t>Poticanje učenika za daljnjim glazbenim obrazovanjem nakon završenog osnovno školskog obrazovanja</w:t>
            </w:r>
          </w:p>
        </w:tc>
        <w:tc>
          <w:tcPr>
            <w:tcW w:w="0" w:type="auto"/>
            <w:tcBorders>
              <w:top w:val="single" w:sz="4" w:space="0" w:color="auto"/>
              <w:left w:val="single" w:sz="4" w:space="0" w:color="auto"/>
              <w:bottom w:val="single" w:sz="4" w:space="0" w:color="auto"/>
              <w:right w:val="single" w:sz="4" w:space="0" w:color="auto"/>
            </w:tcBorders>
          </w:tcPr>
          <w:p w:rsidR="00931CB5" w:rsidRPr="00E02F75" w:rsidRDefault="00931CB5" w:rsidP="00A0456C">
            <w:pPr>
              <w:rPr>
                <w:sz w:val="14"/>
                <w:szCs w:val="14"/>
              </w:rPr>
            </w:pPr>
            <w:r>
              <w:rPr>
                <w:sz w:val="14"/>
                <w:szCs w:val="14"/>
              </w:rPr>
              <w:t>Broj upisanih učenika u srednju školu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E02F75" w:rsidRDefault="00931CB5" w:rsidP="00A0456C">
            <w:pPr>
              <w:rPr>
                <w:sz w:val="14"/>
                <w:szCs w:val="14"/>
              </w:rPr>
            </w:pPr>
            <w:r>
              <w:rPr>
                <w:sz w:val="14"/>
                <w:szCs w:val="14"/>
              </w:rPr>
              <w:t>3</w:t>
            </w:r>
          </w:p>
        </w:tc>
        <w:tc>
          <w:tcPr>
            <w:tcW w:w="0" w:type="auto"/>
            <w:tcBorders>
              <w:top w:val="single" w:sz="4" w:space="0" w:color="auto"/>
              <w:left w:val="single" w:sz="4" w:space="0" w:color="auto"/>
              <w:bottom w:val="single" w:sz="4" w:space="0" w:color="auto"/>
              <w:right w:val="single" w:sz="4" w:space="0" w:color="auto"/>
            </w:tcBorders>
          </w:tcPr>
          <w:p w:rsidR="00931CB5" w:rsidRPr="00E02F75" w:rsidRDefault="00931CB5" w:rsidP="00A0456C">
            <w:pPr>
              <w:rPr>
                <w:sz w:val="14"/>
                <w:szCs w:val="14"/>
              </w:rPr>
            </w:pPr>
            <w:r>
              <w:rPr>
                <w:sz w:val="14"/>
                <w:szCs w:val="14"/>
              </w:rPr>
              <w:t>e-matica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31CB5" w:rsidRPr="00763F37" w:rsidRDefault="00931CB5" w:rsidP="00A0456C">
            <w:pPr>
              <w:rPr>
                <w:sz w:val="14"/>
                <w:szCs w:val="14"/>
              </w:rPr>
            </w:pPr>
            <w:r w:rsidRPr="00763F37">
              <w:rPr>
                <w:sz w:val="14"/>
                <w:szCs w:val="14"/>
              </w:rPr>
              <w:t>3</w:t>
            </w:r>
          </w:p>
        </w:tc>
        <w:tc>
          <w:tcPr>
            <w:tcW w:w="0" w:type="auto"/>
            <w:gridSpan w:val="2"/>
            <w:tcBorders>
              <w:top w:val="single" w:sz="4" w:space="0" w:color="auto"/>
              <w:left w:val="single" w:sz="4" w:space="0" w:color="auto"/>
              <w:bottom w:val="single" w:sz="4" w:space="0" w:color="auto"/>
              <w:right w:val="single" w:sz="4" w:space="0" w:color="auto"/>
            </w:tcBorders>
          </w:tcPr>
          <w:p w:rsidR="00931CB5" w:rsidRPr="00763F37" w:rsidRDefault="00931CB5" w:rsidP="00A0456C">
            <w:pPr>
              <w:rPr>
                <w:sz w:val="14"/>
                <w:szCs w:val="14"/>
              </w:rPr>
            </w:pPr>
            <w:r>
              <w:rPr>
                <w:sz w:val="14"/>
                <w:szCs w:val="14"/>
              </w:rPr>
              <w:t>2</w:t>
            </w:r>
          </w:p>
        </w:tc>
      </w:tr>
    </w:tbl>
    <w:p w:rsidR="00931CB5" w:rsidRDefault="00931CB5" w:rsidP="00931CB5">
      <w:pPr>
        <w:spacing w:line="276" w:lineRule="auto"/>
        <w:rPr>
          <w:rFonts w:ascii="Calibri" w:eastAsia="Calibri" w:hAnsi="Calibri"/>
          <w:lang w:eastAsia="en-US"/>
        </w:rPr>
      </w:pPr>
    </w:p>
    <w:p w:rsidR="00931CB5" w:rsidRPr="00C04E71" w:rsidRDefault="00931CB5" w:rsidP="00931CB5">
      <w:pPr>
        <w:spacing w:line="276" w:lineRule="auto"/>
        <w:rPr>
          <w:rFonts w:ascii="Calibri" w:eastAsia="Calibri" w:hAnsi="Calibri"/>
          <w:lang w:eastAsia="en-U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874"/>
        <w:gridCol w:w="928"/>
        <w:gridCol w:w="1265"/>
        <w:gridCol w:w="1092"/>
        <w:gridCol w:w="1258"/>
        <w:gridCol w:w="658"/>
        <w:gridCol w:w="658"/>
      </w:tblGrid>
      <w:tr w:rsidR="00931CB5" w:rsidRPr="003A3C1D" w:rsidTr="00A0456C">
        <w:trPr>
          <w:gridAfter w:val="1"/>
          <w:trHeight w:val="517"/>
        </w:trPr>
        <w:tc>
          <w:tcPr>
            <w:tcW w:w="2238" w:type="dxa"/>
            <w:shd w:val="clear" w:color="auto" w:fill="D9D9D9"/>
          </w:tcPr>
          <w:p w:rsidR="00931CB5" w:rsidRPr="003A3C1D" w:rsidRDefault="00931CB5" w:rsidP="00A0456C">
            <w:pPr>
              <w:rPr>
                <w:b/>
                <w:bCs/>
                <w:color w:val="000000"/>
              </w:rPr>
            </w:pPr>
            <w:r w:rsidRPr="003A3C1D">
              <w:rPr>
                <w:b/>
                <w:bCs/>
                <w:color w:val="000000"/>
              </w:rPr>
              <w:t>Aktivnost</w:t>
            </w:r>
            <w:r>
              <w:rPr>
                <w:b/>
                <w:bCs/>
                <w:color w:val="000000"/>
              </w:rPr>
              <w:t>/ Projekt</w:t>
            </w:r>
            <w:r w:rsidRPr="003A3C1D">
              <w:rPr>
                <w:b/>
                <w:bCs/>
                <w:color w:val="000000"/>
              </w:rPr>
              <w:t>:</w:t>
            </w:r>
          </w:p>
        </w:tc>
        <w:tc>
          <w:tcPr>
            <w:tcW w:w="2003" w:type="dxa"/>
            <w:gridSpan w:val="2"/>
            <w:shd w:val="clear" w:color="auto" w:fill="auto"/>
          </w:tcPr>
          <w:p w:rsidR="00931CB5" w:rsidRPr="005E3C13" w:rsidRDefault="00931CB5" w:rsidP="00A0456C">
            <w:pPr>
              <w:rPr>
                <w:b/>
                <w:bCs/>
                <w:color w:val="000000"/>
              </w:rPr>
            </w:pPr>
            <w:r w:rsidRPr="00617B9B">
              <w:rPr>
                <w:b/>
                <w:bCs/>
                <w:color w:val="000000"/>
              </w:rPr>
              <w:t>A004030A403002</w:t>
            </w:r>
          </w:p>
        </w:tc>
        <w:tc>
          <w:tcPr>
            <w:tcW w:w="5047" w:type="dxa"/>
            <w:gridSpan w:val="4"/>
            <w:shd w:val="clear" w:color="auto" w:fill="auto"/>
          </w:tcPr>
          <w:p w:rsidR="00931CB5" w:rsidRDefault="00931CB5" w:rsidP="00A0456C">
            <w:pPr>
              <w:rPr>
                <w:b/>
                <w:bCs/>
                <w:color w:val="000000"/>
              </w:rPr>
            </w:pPr>
            <w:r w:rsidRPr="00617B9B">
              <w:rPr>
                <w:b/>
                <w:bCs/>
                <w:color w:val="000000"/>
              </w:rPr>
              <w:t>Izgradnja i uređenje objekata te nabava i održavanje opreme</w:t>
            </w:r>
          </w:p>
          <w:p w:rsidR="00931CB5" w:rsidRPr="005E3C13" w:rsidRDefault="00931CB5" w:rsidP="00A0456C">
            <w:pPr>
              <w:rPr>
                <w:b/>
                <w:bCs/>
                <w:color w:val="000000"/>
              </w:rPr>
            </w:pPr>
          </w:p>
        </w:tc>
      </w:tr>
      <w:tr w:rsidR="00931CB5" w:rsidRPr="003A3C1D" w:rsidTr="00A0456C">
        <w:trPr>
          <w:gridAfter w:val="1"/>
          <w:trHeight w:val="517"/>
        </w:trPr>
        <w:tc>
          <w:tcPr>
            <w:tcW w:w="2238" w:type="dxa"/>
            <w:shd w:val="clear" w:color="auto" w:fill="D9D9D9"/>
          </w:tcPr>
          <w:p w:rsidR="00931CB5" w:rsidRPr="00AC2C3E" w:rsidRDefault="00931CB5" w:rsidP="00A0456C">
            <w:pPr>
              <w:rPr>
                <w:b/>
                <w:bCs/>
                <w:color w:val="000000"/>
                <w:sz w:val="22"/>
                <w:szCs w:val="22"/>
              </w:rPr>
            </w:pPr>
            <w:r w:rsidRPr="00AC2C3E">
              <w:rPr>
                <w:b/>
                <w:bCs/>
                <w:color w:val="000000"/>
                <w:sz w:val="22"/>
                <w:szCs w:val="22"/>
              </w:rPr>
              <w:t>Zakonska i druga pravna osnova:</w:t>
            </w:r>
          </w:p>
        </w:tc>
        <w:tc>
          <w:tcPr>
            <w:tcW w:w="7050" w:type="dxa"/>
            <w:gridSpan w:val="6"/>
            <w:shd w:val="clear" w:color="auto" w:fill="auto"/>
          </w:tcPr>
          <w:p w:rsidR="00931CB5" w:rsidRPr="0002314B" w:rsidRDefault="00931CB5" w:rsidP="00A0456C">
            <w:pPr>
              <w:rPr>
                <w:rFonts w:eastAsia="Symbol"/>
                <w:color w:val="000000"/>
                <w:lang w:val="pl-PL"/>
              </w:rPr>
            </w:pPr>
            <w:r w:rsidRPr="0002314B">
              <w:rPr>
                <w:rFonts w:eastAsia="Symbol"/>
                <w:color w:val="000000"/>
                <w:lang w:val="pl-PL"/>
              </w:rPr>
              <w:t>Djelatnost osnovnog  odgoja i obrazovanja ostvaruje se u skladu s odredbama:</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 o odgoju i obrazovanju u osnovnoj i srednjoj školi  </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Zakona o ustanovama </w:t>
            </w:r>
          </w:p>
          <w:p w:rsidR="00931CB5" w:rsidRPr="0002314B" w:rsidRDefault="00931CB5" w:rsidP="00931CB5">
            <w:pPr>
              <w:numPr>
                <w:ilvl w:val="0"/>
                <w:numId w:val="3"/>
              </w:numPr>
              <w:rPr>
                <w:rFonts w:eastAsia="Symbol"/>
                <w:color w:val="000000"/>
                <w:lang w:val="pl-PL"/>
              </w:rPr>
            </w:pPr>
            <w:r w:rsidRPr="0002314B">
              <w:rPr>
                <w:rFonts w:eastAsia="Symbol"/>
                <w:color w:val="000000"/>
              </w:rPr>
              <w:t>Zakona o umjetničkom obrazovanju</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Godišnji plan  i program rada škole za školsku godinu 2022./2023.</w:t>
            </w:r>
            <w:r>
              <w:rPr>
                <w:rFonts w:eastAsia="Symbol"/>
                <w:color w:val="000000"/>
                <w:lang w:val="pl-PL"/>
              </w:rPr>
              <w:t>¸2023./2024.</w:t>
            </w:r>
          </w:p>
          <w:p w:rsidR="00931CB5" w:rsidRPr="0002314B" w:rsidRDefault="00931CB5" w:rsidP="00931CB5">
            <w:pPr>
              <w:numPr>
                <w:ilvl w:val="0"/>
                <w:numId w:val="3"/>
              </w:numPr>
              <w:rPr>
                <w:rFonts w:eastAsia="Symbol"/>
                <w:i/>
                <w:color w:val="000000"/>
                <w:lang w:val="pl-PL"/>
              </w:rPr>
            </w:pPr>
            <w:r w:rsidRPr="0002314B">
              <w:rPr>
                <w:rFonts w:eastAsia="Symbol"/>
                <w:color w:val="000000"/>
                <w:lang w:val="pl-PL"/>
              </w:rPr>
              <w:t>Kurikulum škole za školsku godinu 2022./2023.</w:t>
            </w:r>
            <w:r>
              <w:rPr>
                <w:rFonts w:eastAsia="Symbol"/>
                <w:color w:val="000000"/>
                <w:lang w:val="pl-PL"/>
              </w:rPr>
              <w:t>, 2023./2024.</w:t>
            </w:r>
          </w:p>
          <w:p w:rsidR="00931CB5" w:rsidRPr="003A3C1D" w:rsidRDefault="00931CB5" w:rsidP="00A0456C">
            <w:pPr>
              <w:rPr>
                <w:rFonts w:eastAsia="Symbol"/>
                <w:color w:val="000000"/>
                <w:lang w:val="pl-PL"/>
              </w:rPr>
            </w:pPr>
            <w:r w:rsidRPr="0002314B">
              <w:rPr>
                <w:rFonts w:eastAsia="Symbol"/>
                <w:color w:val="000000"/>
                <w:lang w:val="pl-PL"/>
              </w:rPr>
              <w:t>Uputa SDŽ za izradu izmjena i dopuna Proračuna Splitsko-dalmatinske županije</w:t>
            </w:r>
          </w:p>
        </w:tc>
      </w:tr>
      <w:tr w:rsidR="00931CB5" w:rsidRPr="003A3C1D" w:rsidTr="00A0456C">
        <w:trPr>
          <w:gridAfter w:val="1"/>
          <w:trHeight w:val="257"/>
        </w:trPr>
        <w:tc>
          <w:tcPr>
            <w:tcW w:w="2238" w:type="dxa"/>
            <w:shd w:val="clear" w:color="auto" w:fill="D9D9D9"/>
          </w:tcPr>
          <w:p w:rsidR="00931CB5" w:rsidRPr="00AC2C3E" w:rsidRDefault="00931CB5" w:rsidP="00A0456C">
            <w:pPr>
              <w:rPr>
                <w:b/>
                <w:bCs/>
                <w:color w:val="000000"/>
                <w:sz w:val="22"/>
                <w:szCs w:val="22"/>
              </w:rPr>
            </w:pPr>
            <w:r w:rsidRPr="00AC2C3E">
              <w:rPr>
                <w:b/>
                <w:bCs/>
                <w:color w:val="000000"/>
                <w:sz w:val="22"/>
                <w:szCs w:val="22"/>
              </w:rPr>
              <w:t xml:space="preserve">Opis aktivnosti / projekta </w:t>
            </w:r>
          </w:p>
        </w:tc>
        <w:tc>
          <w:tcPr>
            <w:tcW w:w="7050" w:type="dxa"/>
            <w:gridSpan w:val="6"/>
            <w:shd w:val="clear" w:color="auto" w:fill="auto"/>
          </w:tcPr>
          <w:p w:rsidR="00931CB5" w:rsidRPr="003A3C1D" w:rsidRDefault="00931CB5" w:rsidP="00A0456C">
            <w:pPr>
              <w:jc w:val="both"/>
              <w:rPr>
                <w:bCs/>
                <w:color w:val="000000"/>
              </w:rPr>
            </w:pPr>
            <w:r w:rsidRPr="00617B9B">
              <w:rPr>
                <w:bCs/>
                <w:color w:val="000000"/>
              </w:rPr>
              <w:t>Nabava uredskog namještaja, glazbenih instrumenata, tekuće i investicijsko održavanje postrojenja i opreme.</w:t>
            </w:r>
          </w:p>
        </w:tc>
      </w:tr>
      <w:tr w:rsidR="00931CB5" w:rsidRPr="003A3C1D" w:rsidTr="00A0456C">
        <w:trPr>
          <w:gridAfter w:val="1"/>
          <w:trHeight w:val="257"/>
        </w:trPr>
        <w:tc>
          <w:tcPr>
            <w:tcW w:w="2238" w:type="dxa"/>
            <w:shd w:val="clear" w:color="auto" w:fill="D9D9D9"/>
          </w:tcPr>
          <w:p w:rsidR="00931CB5" w:rsidRPr="00AC2C3E" w:rsidRDefault="00931CB5" w:rsidP="00A0456C">
            <w:pPr>
              <w:rPr>
                <w:b/>
                <w:bCs/>
                <w:color w:val="000000"/>
                <w:sz w:val="22"/>
                <w:szCs w:val="22"/>
              </w:rPr>
            </w:pPr>
            <w:r w:rsidRPr="00AC2C3E">
              <w:rPr>
                <w:b/>
                <w:bCs/>
                <w:color w:val="000000"/>
                <w:sz w:val="22"/>
                <w:szCs w:val="22"/>
              </w:rPr>
              <w:t>Obrazloženje iz</w:t>
            </w:r>
            <w:r>
              <w:rPr>
                <w:b/>
                <w:bCs/>
                <w:color w:val="000000"/>
                <w:sz w:val="22"/>
                <w:szCs w:val="22"/>
              </w:rPr>
              <w:t>vršenja s ciljevima koji su ostvareni provedbom</w:t>
            </w:r>
            <w:r w:rsidRPr="00AC2C3E">
              <w:rPr>
                <w:b/>
                <w:bCs/>
                <w:color w:val="000000"/>
                <w:sz w:val="22"/>
                <w:szCs w:val="22"/>
              </w:rPr>
              <w:t xml:space="preserve"> </w:t>
            </w:r>
          </w:p>
        </w:tc>
        <w:tc>
          <w:tcPr>
            <w:tcW w:w="7050" w:type="dxa"/>
            <w:gridSpan w:val="6"/>
            <w:shd w:val="clear" w:color="auto" w:fill="auto"/>
          </w:tcPr>
          <w:p w:rsidR="00931CB5" w:rsidRDefault="00931CB5" w:rsidP="00A0456C">
            <w:pPr>
              <w:rPr>
                <w:bCs/>
                <w:color w:val="000000"/>
              </w:rPr>
            </w:pPr>
            <w:r w:rsidRPr="00617B9B">
              <w:rPr>
                <w:bCs/>
                <w:color w:val="000000"/>
              </w:rPr>
              <w:t>Škola ima veliki potencijal za koji su potrebna konstantna ulaganja. Kontinuiran</w:t>
            </w:r>
            <w:r>
              <w:rPr>
                <w:bCs/>
                <w:color w:val="000000"/>
              </w:rPr>
              <w:t>o se nabavljaju</w:t>
            </w:r>
            <w:r w:rsidRPr="00617B9B">
              <w:rPr>
                <w:bCs/>
                <w:color w:val="000000"/>
              </w:rPr>
              <w:t xml:space="preserve"> instrumenti za potrebe Škole.</w:t>
            </w:r>
            <w:r>
              <w:rPr>
                <w:bCs/>
                <w:color w:val="000000"/>
              </w:rPr>
              <w:t xml:space="preserve"> Zbog dotrajalosti pojedinih instrumenata kao i sve većeg broja upisane djece </w:t>
            </w:r>
            <w:r w:rsidRPr="00617B9B">
              <w:rPr>
                <w:bCs/>
                <w:color w:val="000000"/>
              </w:rPr>
              <w:t xml:space="preserve"> prisiljeni smo nabaviti instrumentarij koji će biti dostatan za izvođenje kvalitetne nastave. </w:t>
            </w:r>
            <w:r>
              <w:rPr>
                <w:bCs/>
                <w:color w:val="000000"/>
              </w:rPr>
              <w:t xml:space="preserve">U 2023. godini nabavljene su </w:t>
            </w:r>
            <w:r w:rsidRPr="00AA6B2D">
              <w:rPr>
                <w:bCs/>
                <w:color w:val="000000"/>
              </w:rPr>
              <w:t xml:space="preserve"> 2. nove kamere (ulaz </w:t>
            </w:r>
            <w:r>
              <w:rPr>
                <w:bCs/>
                <w:color w:val="000000"/>
              </w:rPr>
              <w:t>i prostor iza škole), konferencijski stol za zbornicu te glazbeni instrumenti</w:t>
            </w:r>
            <w:r w:rsidRPr="00AA6B2D">
              <w:rPr>
                <w:bCs/>
                <w:color w:val="000000"/>
              </w:rPr>
              <w:t xml:space="preserve"> (gitara, flauta, 5 violina, 2 mandoline</w:t>
            </w:r>
            <w:r>
              <w:rPr>
                <w:bCs/>
                <w:color w:val="000000"/>
              </w:rPr>
              <w:t>, harmonika, oboa</w:t>
            </w:r>
            <w:r w:rsidRPr="00AA6B2D">
              <w:rPr>
                <w:bCs/>
                <w:color w:val="000000"/>
              </w:rPr>
              <w:t>).</w:t>
            </w:r>
            <w:r>
              <w:rPr>
                <w:bCs/>
                <w:color w:val="000000"/>
              </w:rPr>
              <w:t xml:space="preserve"> </w:t>
            </w:r>
          </w:p>
          <w:p w:rsidR="00931CB5" w:rsidRDefault="00931CB5" w:rsidP="00A0456C">
            <w:pPr>
              <w:rPr>
                <w:bCs/>
                <w:color w:val="000000"/>
              </w:rPr>
            </w:pPr>
            <w:r>
              <w:rPr>
                <w:bCs/>
                <w:color w:val="000000"/>
              </w:rPr>
              <w:t>Promatrajući rashode prema izvorima financiranja vidljivo nam je da je iz izvora prihoda za posebne namjene realizirano 93,81% . Kod materijalnih rashoda realizirano je 620,65 eura manje u odnosu na plan, dok je kod rashoda za nabavku cjelokupni iznos od 4124,00 eura u potpunosti realiziran.</w:t>
            </w:r>
          </w:p>
          <w:p w:rsidR="00931CB5" w:rsidRDefault="00931CB5" w:rsidP="00A0456C">
            <w:pPr>
              <w:rPr>
                <w:bCs/>
                <w:color w:val="000000"/>
              </w:rPr>
            </w:pPr>
            <w:r>
              <w:rPr>
                <w:bCs/>
                <w:color w:val="000000"/>
              </w:rPr>
              <w:t>Iz izvora prihoda za posebne namjene-prenesena sredstva indeks realizacije je 100%. Sva planirana sredstva u iznosu od 5.7963,33 eura su realizirana, od toga 1.796,33 eura su utrošena na materijalne rashode, a 4000,00 eura na rashode za nabavu proizvedene dugotrajne imovine.</w:t>
            </w:r>
          </w:p>
          <w:p w:rsidR="00931CB5" w:rsidRPr="003A3C1D" w:rsidRDefault="00931CB5" w:rsidP="00A0456C">
            <w:pPr>
              <w:rPr>
                <w:bCs/>
                <w:color w:val="000000"/>
              </w:rPr>
            </w:pPr>
            <w:r>
              <w:rPr>
                <w:bCs/>
                <w:color w:val="000000"/>
              </w:rPr>
              <w:lastRenderedPageBreak/>
              <w:t>Iz izvora donacija realizirano je 83,33% manje rashoda u odnosu na rebalans 2023. Od ukupno planiranih 1.200,00 eura realizirano je 200,00 eura.</w:t>
            </w:r>
          </w:p>
        </w:tc>
      </w:tr>
      <w:tr w:rsidR="00931CB5" w:rsidRPr="003A3C1D" w:rsidTr="00A0456C">
        <w:trPr>
          <w:gridAfter w:val="1"/>
          <w:trHeight w:val="257"/>
        </w:trPr>
        <w:tc>
          <w:tcPr>
            <w:tcW w:w="0" w:type="auto"/>
            <w:gridSpan w:val="7"/>
            <w:shd w:val="clear" w:color="auto" w:fill="FFFFFF"/>
          </w:tcPr>
          <w:tbl>
            <w:tblPr>
              <w:tblW w:w="4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85"/>
              <w:gridCol w:w="1738"/>
            </w:tblGrid>
            <w:tr w:rsidR="00931CB5" w:rsidRPr="0033683A" w:rsidTr="00A0456C">
              <w:trPr>
                <w:trHeight w:val="192"/>
              </w:trPr>
              <w:tc>
                <w:tcPr>
                  <w:tcW w:w="1940" w:type="pct"/>
                  <w:shd w:val="clear" w:color="auto" w:fill="F2F2F2"/>
                </w:tcPr>
                <w:p w:rsidR="00931CB5" w:rsidRPr="00AC2C3E" w:rsidRDefault="00931CB5" w:rsidP="00A0456C">
                  <w:pPr>
                    <w:jc w:val="center"/>
                    <w:rPr>
                      <w:b/>
                      <w:bCs/>
                      <w:color w:val="000000"/>
                      <w:sz w:val="22"/>
                      <w:szCs w:val="22"/>
                    </w:rPr>
                  </w:pPr>
                  <w:r w:rsidRPr="00D55D1F">
                    <w:rPr>
                      <w:b/>
                      <w:bCs/>
                      <w:color w:val="000000"/>
                      <w:sz w:val="20"/>
                      <w:szCs w:val="20"/>
                    </w:rPr>
                    <w:lastRenderedPageBreak/>
                    <w:t>P</w:t>
                  </w:r>
                  <w:r>
                    <w:rPr>
                      <w:b/>
                      <w:bCs/>
                      <w:color w:val="000000"/>
                      <w:sz w:val="20"/>
                      <w:szCs w:val="20"/>
                    </w:rPr>
                    <w:t xml:space="preserve">lan </w:t>
                  </w:r>
                  <w:r w:rsidRPr="00D55D1F">
                    <w:rPr>
                      <w:b/>
                      <w:bCs/>
                      <w:color w:val="000000"/>
                      <w:sz w:val="20"/>
                      <w:szCs w:val="20"/>
                    </w:rPr>
                    <w:t>202</w:t>
                  </w:r>
                  <w:r>
                    <w:rPr>
                      <w:b/>
                      <w:bCs/>
                      <w:color w:val="000000"/>
                      <w:sz w:val="20"/>
                      <w:szCs w:val="20"/>
                    </w:rPr>
                    <w:t>3</w:t>
                  </w:r>
                  <w:r w:rsidRPr="00D55D1F">
                    <w:rPr>
                      <w:b/>
                      <w:bCs/>
                      <w:color w:val="000000"/>
                      <w:sz w:val="20"/>
                      <w:szCs w:val="20"/>
                    </w:rPr>
                    <w:t>.</w:t>
                  </w:r>
                </w:p>
              </w:tc>
              <w:tc>
                <w:tcPr>
                  <w:tcW w:w="1934" w:type="pct"/>
                  <w:shd w:val="clear" w:color="auto" w:fill="F2F2F2"/>
                </w:tcPr>
                <w:p w:rsidR="00931CB5" w:rsidRPr="00AC2C3E" w:rsidRDefault="00931CB5" w:rsidP="00A0456C">
                  <w:pPr>
                    <w:jc w:val="center"/>
                    <w:rPr>
                      <w:b/>
                      <w:bCs/>
                      <w:color w:val="000000"/>
                      <w:sz w:val="22"/>
                      <w:szCs w:val="22"/>
                    </w:rPr>
                  </w:pPr>
                  <w:r>
                    <w:rPr>
                      <w:b/>
                      <w:bCs/>
                      <w:color w:val="000000"/>
                      <w:sz w:val="20"/>
                      <w:szCs w:val="20"/>
                    </w:rPr>
                    <w:t>Realizirano</w:t>
                  </w:r>
                  <w:r w:rsidRPr="00D55D1F">
                    <w:rPr>
                      <w:b/>
                      <w:bCs/>
                      <w:color w:val="000000"/>
                      <w:sz w:val="20"/>
                      <w:szCs w:val="20"/>
                    </w:rPr>
                    <w:t xml:space="preserve"> </w:t>
                  </w:r>
                  <w:r>
                    <w:rPr>
                      <w:b/>
                      <w:bCs/>
                      <w:color w:val="000000"/>
                      <w:sz w:val="20"/>
                      <w:szCs w:val="20"/>
                    </w:rPr>
                    <w:br/>
                    <w:t xml:space="preserve">siječanj – prosinac </w:t>
                  </w:r>
                  <w:r w:rsidRPr="00D55D1F">
                    <w:rPr>
                      <w:b/>
                      <w:bCs/>
                      <w:color w:val="000000"/>
                      <w:sz w:val="20"/>
                      <w:szCs w:val="20"/>
                    </w:rPr>
                    <w:t>202</w:t>
                  </w:r>
                  <w:r>
                    <w:rPr>
                      <w:b/>
                      <w:bCs/>
                      <w:color w:val="000000"/>
                      <w:sz w:val="20"/>
                      <w:szCs w:val="20"/>
                    </w:rPr>
                    <w:t>3.</w:t>
                  </w:r>
                </w:p>
              </w:tc>
              <w:tc>
                <w:tcPr>
                  <w:tcW w:w="1126" w:type="pct"/>
                  <w:shd w:val="clear" w:color="auto" w:fill="F2F2F2"/>
                </w:tcPr>
                <w:p w:rsidR="00931CB5" w:rsidRPr="00AC2C3E" w:rsidRDefault="00931CB5" w:rsidP="00A0456C">
                  <w:pPr>
                    <w:jc w:val="center"/>
                    <w:rPr>
                      <w:b/>
                      <w:bCs/>
                      <w:color w:val="000000"/>
                      <w:sz w:val="22"/>
                      <w:szCs w:val="22"/>
                    </w:rPr>
                  </w:pPr>
                  <w:r>
                    <w:rPr>
                      <w:b/>
                      <w:bCs/>
                      <w:color w:val="000000"/>
                      <w:sz w:val="20"/>
                      <w:szCs w:val="20"/>
                    </w:rPr>
                    <w:t>Indeks</w:t>
                  </w:r>
                </w:p>
              </w:tc>
            </w:tr>
            <w:tr w:rsidR="00931CB5" w:rsidRPr="00955E35" w:rsidTr="00A0456C">
              <w:trPr>
                <w:trHeight w:val="192"/>
              </w:trPr>
              <w:tc>
                <w:tcPr>
                  <w:tcW w:w="1940"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17020,53€</w:t>
                  </w:r>
                </w:p>
              </w:tc>
              <w:tc>
                <w:tcPr>
                  <w:tcW w:w="1934"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15399,88€</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31CB5" w:rsidRPr="00B41766" w:rsidRDefault="00931CB5" w:rsidP="00A0456C">
                  <w:pPr>
                    <w:jc w:val="right"/>
                    <w:rPr>
                      <w:bCs/>
                      <w:color w:val="000000"/>
                      <w:sz w:val="22"/>
                      <w:szCs w:val="22"/>
                    </w:rPr>
                  </w:pPr>
                  <w:r>
                    <w:rPr>
                      <w:bCs/>
                      <w:color w:val="000000"/>
                      <w:sz w:val="22"/>
                      <w:szCs w:val="22"/>
                    </w:rPr>
                    <w:t>90,5%</w:t>
                  </w:r>
                </w:p>
              </w:tc>
            </w:tr>
          </w:tbl>
          <w:p w:rsidR="00931CB5" w:rsidRPr="003A3C1D" w:rsidRDefault="00931CB5" w:rsidP="00A0456C">
            <w:pPr>
              <w:rPr>
                <w:bCs/>
                <w:color w:val="000000"/>
              </w:rPr>
            </w:pPr>
          </w:p>
        </w:tc>
      </w:tr>
      <w:tr w:rsidR="00931CB5" w:rsidRPr="00466EA6" w:rsidTr="00A0456C">
        <w:tblPrEx>
          <w:tblLook w:val="04A0" w:firstRow="1" w:lastRow="0" w:firstColumn="1" w:lastColumn="0" w:noHBand="0" w:noVBand="1"/>
        </w:tblPrEx>
        <w:trPr>
          <w:trHeight w:val="566"/>
        </w:trPr>
        <w:tc>
          <w:tcPr>
            <w:tcW w:w="0" w:type="auto"/>
            <w:shd w:val="clear" w:color="auto" w:fill="D9D9D9"/>
          </w:tcPr>
          <w:p w:rsidR="00931CB5" w:rsidRPr="00AD6019" w:rsidRDefault="00931CB5" w:rsidP="00A0456C">
            <w:pPr>
              <w:rPr>
                <w:b/>
                <w:sz w:val="20"/>
                <w:szCs w:val="20"/>
              </w:rPr>
            </w:pPr>
            <w:r w:rsidRPr="00AD6019">
              <w:rPr>
                <w:b/>
                <w:sz w:val="20"/>
                <w:szCs w:val="20"/>
              </w:rPr>
              <w:t xml:space="preserve">Pokazatelj </w:t>
            </w:r>
            <w:r>
              <w:rPr>
                <w:b/>
                <w:sz w:val="20"/>
                <w:szCs w:val="20"/>
              </w:rPr>
              <w:t>rezultata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Definicija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Jedinica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Polazna vrijednost 202</w:t>
            </w:r>
            <w:r>
              <w:rPr>
                <w:b/>
                <w:sz w:val="20"/>
                <w:szCs w:val="20"/>
              </w:rPr>
              <w:t>3</w:t>
            </w:r>
            <w:r w:rsidRPr="00AD6019">
              <w:rPr>
                <w:b/>
                <w:sz w:val="20"/>
                <w:szCs w:val="20"/>
              </w:rPr>
              <w:t>.</w:t>
            </w:r>
          </w:p>
        </w:tc>
        <w:tc>
          <w:tcPr>
            <w:tcW w:w="0" w:type="auto"/>
            <w:shd w:val="clear" w:color="auto" w:fill="D9D9D9"/>
          </w:tcPr>
          <w:p w:rsidR="00931CB5" w:rsidRPr="00AD6019" w:rsidRDefault="00931CB5" w:rsidP="00A0456C">
            <w:pPr>
              <w:jc w:val="center"/>
              <w:rPr>
                <w:b/>
                <w:sz w:val="20"/>
                <w:szCs w:val="20"/>
              </w:rPr>
            </w:pPr>
            <w:r>
              <w:rPr>
                <w:b/>
                <w:sz w:val="20"/>
                <w:szCs w:val="20"/>
              </w:rPr>
              <w:t>Izvor podataka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Ciljana vrijednost 202</w:t>
            </w:r>
            <w:r>
              <w:rPr>
                <w:b/>
                <w:sz w:val="20"/>
                <w:szCs w:val="20"/>
              </w:rPr>
              <w:t>3</w:t>
            </w:r>
            <w:r w:rsidRPr="00AD6019">
              <w:rPr>
                <w:b/>
                <w:sz w:val="20"/>
                <w:szCs w:val="20"/>
              </w:rPr>
              <w:t>.</w:t>
            </w:r>
          </w:p>
        </w:tc>
        <w:tc>
          <w:tcPr>
            <w:tcW w:w="0" w:type="auto"/>
            <w:gridSpan w:val="2"/>
            <w:shd w:val="clear" w:color="auto" w:fill="D9D9D9"/>
          </w:tcPr>
          <w:p w:rsidR="00931CB5" w:rsidRPr="00AD6019" w:rsidRDefault="00931CB5" w:rsidP="00A0456C">
            <w:pPr>
              <w:jc w:val="center"/>
              <w:rPr>
                <w:b/>
                <w:sz w:val="20"/>
                <w:szCs w:val="20"/>
              </w:rPr>
            </w:pPr>
            <w:r>
              <w:rPr>
                <w:b/>
                <w:sz w:val="20"/>
                <w:szCs w:val="20"/>
              </w:rPr>
              <w:t xml:space="preserve">Ostvarena </w:t>
            </w:r>
            <w:r w:rsidRPr="00AD6019">
              <w:rPr>
                <w:b/>
                <w:sz w:val="20"/>
                <w:szCs w:val="20"/>
              </w:rPr>
              <w:t>vrijednost 202</w:t>
            </w:r>
            <w:r>
              <w:rPr>
                <w:b/>
                <w:sz w:val="20"/>
                <w:szCs w:val="20"/>
              </w:rPr>
              <w:t>3</w:t>
            </w:r>
            <w:r w:rsidRPr="00AD6019">
              <w:rPr>
                <w:b/>
                <w:sz w:val="20"/>
                <w:szCs w:val="20"/>
              </w:rPr>
              <w:t>.</w:t>
            </w:r>
          </w:p>
        </w:tc>
      </w:tr>
      <w:tr w:rsidR="00931CB5" w:rsidTr="00A0456C">
        <w:tblPrEx>
          <w:tblLook w:val="04A0" w:firstRow="1" w:lastRow="0" w:firstColumn="1" w:lastColumn="0" w:noHBand="0" w:noVBand="1"/>
        </w:tblPrEx>
        <w:trPr>
          <w:trHeight w:val="190"/>
        </w:trPr>
        <w:tc>
          <w:tcPr>
            <w:tcW w:w="0" w:type="auto"/>
            <w:shd w:val="clear" w:color="auto" w:fill="auto"/>
          </w:tcPr>
          <w:p w:rsidR="00931CB5" w:rsidRPr="00BD462E" w:rsidRDefault="00931CB5" w:rsidP="00A0456C">
            <w:pPr>
              <w:rPr>
                <w:sz w:val="16"/>
                <w:szCs w:val="16"/>
              </w:rPr>
            </w:pPr>
            <w:r>
              <w:rPr>
                <w:sz w:val="16"/>
                <w:szCs w:val="16"/>
              </w:rPr>
              <w:t>Broj glazbenih instrumenata</w:t>
            </w:r>
          </w:p>
        </w:tc>
        <w:tc>
          <w:tcPr>
            <w:tcW w:w="0" w:type="auto"/>
            <w:shd w:val="clear" w:color="auto" w:fill="auto"/>
          </w:tcPr>
          <w:p w:rsidR="00931CB5" w:rsidRPr="00BD462E" w:rsidRDefault="00931CB5" w:rsidP="00A0456C">
            <w:pPr>
              <w:rPr>
                <w:sz w:val="16"/>
                <w:szCs w:val="16"/>
              </w:rPr>
            </w:pPr>
            <w:r>
              <w:rPr>
                <w:sz w:val="16"/>
                <w:szCs w:val="16"/>
              </w:rPr>
              <w:t>Učenici nemaju potrebu za kupnjom instrumenta jer je škola osigurala dovoljan broj instrumenata</w:t>
            </w:r>
          </w:p>
        </w:tc>
        <w:tc>
          <w:tcPr>
            <w:tcW w:w="0" w:type="auto"/>
          </w:tcPr>
          <w:p w:rsidR="00931CB5" w:rsidRPr="00BD462E" w:rsidRDefault="00931CB5" w:rsidP="00A0456C">
            <w:pPr>
              <w:rPr>
                <w:sz w:val="16"/>
                <w:szCs w:val="16"/>
              </w:rPr>
            </w:pPr>
            <w:r>
              <w:rPr>
                <w:sz w:val="16"/>
                <w:szCs w:val="16"/>
              </w:rPr>
              <w:t>%</w:t>
            </w:r>
          </w:p>
        </w:tc>
        <w:tc>
          <w:tcPr>
            <w:tcW w:w="0" w:type="auto"/>
            <w:shd w:val="clear" w:color="auto" w:fill="auto"/>
          </w:tcPr>
          <w:p w:rsidR="00931CB5" w:rsidRPr="00BD462E" w:rsidRDefault="00931CB5" w:rsidP="00A0456C">
            <w:pPr>
              <w:rPr>
                <w:sz w:val="16"/>
                <w:szCs w:val="16"/>
              </w:rPr>
            </w:pPr>
            <w:r>
              <w:rPr>
                <w:sz w:val="16"/>
                <w:szCs w:val="16"/>
              </w:rPr>
              <w:t>0</w:t>
            </w:r>
          </w:p>
        </w:tc>
        <w:tc>
          <w:tcPr>
            <w:tcW w:w="0" w:type="auto"/>
          </w:tcPr>
          <w:p w:rsidR="00931CB5" w:rsidRPr="00BD462E" w:rsidRDefault="00931CB5" w:rsidP="00A0456C">
            <w:pPr>
              <w:rPr>
                <w:sz w:val="16"/>
                <w:szCs w:val="16"/>
              </w:rPr>
            </w:pPr>
            <w:r>
              <w:rPr>
                <w:sz w:val="16"/>
                <w:szCs w:val="16"/>
              </w:rPr>
              <w:t>Škola</w:t>
            </w:r>
          </w:p>
        </w:tc>
        <w:tc>
          <w:tcPr>
            <w:tcW w:w="0" w:type="auto"/>
            <w:shd w:val="clear" w:color="auto" w:fill="auto"/>
          </w:tcPr>
          <w:p w:rsidR="00931CB5" w:rsidRPr="00BD462E" w:rsidRDefault="00931CB5" w:rsidP="00A0456C">
            <w:pPr>
              <w:rPr>
                <w:sz w:val="16"/>
                <w:szCs w:val="16"/>
              </w:rPr>
            </w:pPr>
            <w:r>
              <w:rPr>
                <w:sz w:val="16"/>
                <w:szCs w:val="16"/>
              </w:rPr>
              <w:t>100</w:t>
            </w:r>
          </w:p>
        </w:tc>
        <w:tc>
          <w:tcPr>
            <w:tcW w:w="0" w:type="auto"/>
            <w:gridSpan w:val="2"/>
          </w:tcPr>
          <w:p w:rsidR="00931CB5" w:rsidRPr="00BD462E" w:rsidRDefault="00931CB5" w:rsidP="00A0456C">
            <w:pPr>
              <w:rPr>
                <w:sz w:val="16"/>
                <w:szCs w:val="16"/>
              </w:rPr>
            </w:pPr>
            <w:r>
              <w:rPr>
                <w:sz w:val="16"/>
                <w:szCs w:val="16"/>
              </w:rPr>
              <w:t>90</w:t>
            </w:r>
          </w:p>
        </w:tc>
      </w:tr>
    </w:tbl>
    <w:p w:rsidR="001D74D3" w:rsidRDefault="001D74D3"/>
    <w:p w:rsidR="00931CB5" w:rsidRDefault="00931CB5">
      <w:bookmarkStart w:id="1" w:name="_GoBack"/>
      <w:bookmarkEnd w:id="1"/>
    </w:p>
    <w:p w:rsidR="00931CB5" w:rsidRDefault="00931CB5"/>
    <w:p w:rsidR="00931CB5" w:rsidRDefault="00931CB5"/>
    <w:p w:rsidR="00931CB5" w:rsidRDefault="00931CB5"/>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075"/>
        <w:gridCol w:w="928"/>
        <w:gridCol w:w="1083"/>
        <w:gridCol w:w="1017"/>
        <w:gridCol w:w="1083"/>
        <w:gridCol w:w="553"/>
        <w:gridCol w:w="553"/>
      </w:tblGrid>
      <w:tr w:rsidR="00931CB5" w:rsidRPr="003A3C1D" w:rsidTr="00A0456C">
        <w:trPr>
          <w:gridAfter w:val="1"/>
          <w:trHeight w:val="517"/>
        </w:trPr>
        <w:tc>
          <w:tcPr>
            <w:tcW w:w="2245" w:type="dxa"/>
            <w:shd w:val="clear" w:color="auto" w:fill="D9D9D9"/>
          </w:tcPr>
          <w:p w:rsidR="00931CB5" w:rsidRPr="003A3C1D" w:rsidRDefault="00931CB5" w:rsidP="00A0456C">
            <w:pPr>
              <w:rPr>
                <w:b/>
                <w:bCs/>
                <w:color w:val="000000"/>
              </w:rPr>
            </w:pPr>
            <w:r w:rsidRPr="003A3C1D">
              <w:rPr>
                <w:b/>
                <w:bCs/>
                <w:color w:val="000000"/>
              </w:rPr>
              <w:t>Aktivnost</w:t>
            </w:r>
            <w:r>
              <w:rPr>
                <w:b/>
                <w:bCs/>
                <w:color w:val="000000"/>
              </w:rPr>
              <w:t>/ Projekt</w:t>
            </w:r>
            <w:r w:rsidRPr="003A3C1D">
              <w:rPr>
                <w:b/>
                <w:bCs/>
                <w:color w:val="000000"/>
              </w:rPr>
              <w:t>:</w:t>
            </w:r>
          </w:p>
        </w:tc>
        <w:tc>
          <w:tcPr>
            <w:tcW w:w="2003" w:type="dxa"/>
            <w:gridSpan w:val="2"/>
            <w:shd w:val="clear" w:color="auto" w:fill="auto"/>
          </w:tcPr>
          <w:p w:rsidR="00931CB5" w:rsidRPr="005E3C13" w:rsidRDefault="00931CB5" w:rsidP="00A0456C">
            <w:pPr>
              <w:rPr>
                <w:b/>
                <w:bCs/>
                <w:color w:val="000000"/>
              </w:rPr>
            </w:pPr>
            <w:r>
              <w:rPr>
                <w:b/>
                <w:bCs/>
                <w:color w:val="000000"/>
              </w:rPr>
              <w:t>A004030A403003</w:t>
            </w:r>
          </w:p>
        </w:tc>
        <w:tc>
          <w:tcPr>
            <w:tcW w:w="5040" w:type="dxa"/>
            <w:gridSpan w:val="4"/>
            <w:shd w:val="clear" w:color="auto" w:fill="auto"/>
          </w:tcPr>
          <w:p w:rsidR="00931CB5" w:rsidRPr="005E3C13" w:rsidRDefault="00931CB5" w:rsidP="00A0456C">
            <w:pPr>
              <w:rPr>
                <w:b/>
                <w:bCs/>
                <w:color w:val="000000"/>
              </w:rPr>
            </w:pPr>
            <w:r>
              <w:rPr>
                <w:b/>
                <w:bCs/>
                <w:color w:val="000000"/>
              </w:rPr>
              <w:t>Pravno zastupanje, naknada štete i ostalo</w:t>
            </w:r>
          </w:p>
        </w:tc>
      </w:tr>
      <w:tr w:rsidR="00931CB5" w:rsidRPr="003A3C1D" w:rsidTr="00A0456C">
        <w:trPr>
          <w:gridAfter w:val="1"/>
          <w:trHeight w:val="517"/>
        </w:trPr>
        <w:tc>
          <w:tcPr>
            <w:tcW w:w="2245" w:type="dxa"/>
            <w:shd w:val="clear" w:color="auto" w:fill="D9D9D9"/>
          </w:tcPr>
          <w:p w:rsidR="00931CB5" w:rsidRPr="00AC2C3E" w:rsidRDefault="00931CB5" w:rsidP="00A0456C">
            <w:pPr>
              <w:rPr>
                <w:b/>
                <w:bCs/>
                <w:color w:val="000000"/>
                <w:sz w:val="22"/>
                <w:szCs w:val="22"/>
              </w:rPr>
            </w:pPr>
            <w:r w:rsidRPr="00AC2C3E">
              <w:rPr>
                <w:b/>
                <w:bCs/>
                <w:color w:val="000000"/>
                <w:sz w:val="22"/>
                <w:szCs w:val="22"/>
              </w:rPr>
              <w:t>Zakonska i druga pravna osnova:</w:t>
            </w:r>
          </w:p>
        </w:tc>
        <w:tc>
          <w:tcPr>
            <w:tcW w:w="7043" w:type="dxa"/>
            <w:gridSpan w:val="6"/>
            <w:shd w:val="clear" w:color="auto" w:fill="auto"/>
          </w:tcPr>
          <w:p w:rsidR="00931CB5" w:rsidRPr="0002314B" w:rsidRDefault="00931CB5" w:rsidP="00A0456C">
            <w:pPr>
              <w:rPr>
                <w:rFonts w:eastAsia="Symbol"/>
                <w:color w:val="000000"/>
                <w:lang w:val="pl-PL"/>
              </w:rPr>
            </w:pPr>
            <w:r w:rsidRPr="0002314B">
              <w:rPr>
                <w:rFonts w:eastAsia="Symbol"/>
                <w:color w:val="000000"/>
                <w:lang w:val="pl-PL"/>
              </w:rPr>
              <w:t>Djelatnost osnovnog  odgoja i obrazovanja ostvaruje se u skladu s odredbama:</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 o odgoju i obrazovanju u osnovnoj i srednjoj školi  </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 xml:space="preserve">Zakona o ustanovama </w:t>
            </w:r>
          </w:p>
          <w:p w:rsidR="00931CB5" w:rsidRPr="0002314B" w:rsidRDefault="00931CB5" w:rsidP="00931CB5">
            <w:pPr>
              <w:numPr>
                <w:ilvl w:val="0"/>
                <w:numId w:val="3"/>
              </w:numPr>
              <w:rPr>
                <w:rFonts w:eastAsia="Symbol"/>
                <w:color w:val="000000"/>
                <w:lang w:val="pl-PL"/>
              </w:rPr>
            </w:pPr>
            <w:r w:rsidRPr="0002314B">
              <w:rPr>
                <w:rFonts w:eastAsia="Symbol"/>
                <w:color w:val="000000"/>
              </w:rPr>
              <w:t>Zakona o umjetničkom obrazovanju</w:t>
            </w:r>
          </w:p>
          <w:p w:rsidR="00931CB5" w:rsidRPr="0002314B" w:rsidRDefault="00931CB5" w:rsidP="00931CB5">
            <w:pPr>
              <w:numPr>
                <w:ilvl w:val="0"/>
                <w:numId w:val="3"/>
              </w:numPr>
              <w:rPr>
                <w:rFonts w:eastAsia="Symbol"/>
                <w:color w:val="000000"/>
                <w:lang w:val="pl-PL"/>
              </w:rPr>
            </w:pPr>
            <w:r w:rsidRPr="0002314B">
              <w:rPr>
                <w:rFonts w:eastAsia="Symbol"/>
                <w:color w:val="000000"/>
                <w:lang w:val="pl-PL"/>
              </w:rPr>
              <w:t>Godišnji plan  i program rada škole za školsku godinu 2022./2023.</w:t>
            </w:r>
            <w:r>
              <w:rPr>
                <w:rFonts w:eastAsia="Symbol"/>
                <w:color w:val="000000"/>
                <w:lang w:val="pl-PL"/>
              </w:rPr>
              <w:t>¸2023./2024.</w:t>
            </w:r>
          </w:p>
          <w:p w:rsidR="00931CB5" w:rsidRPr="0002314B" w:rsidRDefault="00931CB5" w:rsidP="00931CB5">
            <w:pPr>
              <w:numPr>
                <w:ilvl w:val="0"/>
                <w:numId w:val="3"/>
              </w:numPr>
              <w:rPr>
                <w:rFonts w:eastAsia="Symbol"/>
                <w:i/>
                <w:color w:val="000000"/>
                <w:lang w:val="pl-PL"/>
              </w:rPr>
            </w:pPr>
            <w:r w:rsidRPr="0002314B">
              <w:rPr>
                <w:rFonts w:eastAsia="Symbol"/>
                <w:color w:val="000000"/>
                <w:lang w:val="pl-PL"/>
              </w:rPr>
              <w:t>Kurikulum škole za školsku godinu 2022./2023.</w:t>
            </w:r>
            <w:r>
              <w:rPr>
                <w:rFonts w:eastAsia="Symbol"/>
                <w:color w:val="000000"/>
                <w:lang w:val="pl-PL"/>
              </w:rPr>
              <w:t>, 2023./2024.</w:t>
            </w:r>
          </w:p>
          <w:p w:rsidR="00931CB5" w:rsidRPr="003A3C1D" w:rsidRDefault="00931CB5" w:rsidP="00A0456C">
            <w:pPr>
              <w:rPr>
                <w:rFonts w:eastAsia="Symbol"/>
                <w:color w:val="000000"/>
                <w:lang w:val="pl-PL"/>
              </w:rPr>
            </w:pPr>
            <w:r w:rsidRPr="0002314B">
              <w:rPr>
                <w:rFonts w:eastAsia="Symbol"/>
                <w:color w:val="000000"/>
                <w:lang w:val="pl-PL"/>
              </w:rPr>
              <w:t>Uputa SDŽ za izradu izmjena i dopuna Proračuna Splitsko-dalmatinske županije</w:t>
            </w:r>
          </w:p>
        </w:tc>
      </w:tr>
      <w:tr w:rsidR="00931CB5" w:rsidRPr="003A3C1D" w:rsidTr="00A0456C">
        <w:trPr>
          <w:gridAfter w:val="1"/>
          <w:trHeight w:val="257"/>
        </w:trPr>
        <w:tc>
          <w:tcPr>
            <w:tcW w:w="2245" w:type="dxa"/>
            <w:shd w:val="clear" w:color="auto" w:fill="D9D9D9"/>
          </w:tcPr>
          <w:p w:rsidR="00931CB5" w:rsidRPr="00AC2C3E" w:rsidRDefault="00931CB5" w:rsidP="00A0456C">
            <w:pPr>
              <w:rPr>
                <w:b/>
                <w:bCs/>
                <w:color w:val="000000"/>
                <w:sz w:val="22"/>
                <w:szCs w:val="22"/>
              </w:rPr>
            </w:pPr>
            <w:r w:rsidRPr="00AC2C3E">
              <w:rPr>
                <w:b/>
                <w:bCs/>
                <w:color w:val="000000"/>
                <w:sz w:val="22"/>
                <w:szCs w:val="22"/>
              </w:rPr>
              <w:t xml:space="preserve">Opis aktivnosti / projekta </w:t>
            </w:r>
          </w:p>
        </w:tc>
        <w:tc>
          <w:tcPr>
            <w:tcW w:w="7043" w:type="dxa"/>
            <w:gridSpan w:val="6"/>
            <w:shd w:val="clear" w:color="auto" w:fill="auto"/>
          </w:tcPr>
          <w:p w:rsidR="00931CB5" w:rsidRPr="003A3C1D" w:rsidRDefault="00931CB5" w:rsidP="00A0456C">
            <w:pPr>
              <w:jc w:val="both"/>
              <w:rPr>
                <w:bCs/>
                <w:color w:val="000000"/>
              </w:rPr>
            </w:pPr>
            <w:r>
              <w:t>Podmirenje iznosa iz pravomoćnih presuda</w:t>
            </w:r>
            <w:r w:rsidRPr="00D6381B">
              <w:t xml:space="preserve"> radi isplate razlike plaće po povoljnijoj osnovici za razdoblje prosinac 2015. do siječnja 2017. godine.</w:t>
            </w:r>
          </w:p>
        </w:tc>
      </w:tr>
      <w:tr w:rsidR="00931CB5" w:rsidRPr="003A3C1D" w:rsidTr="00A0456C">
        <w:trPr>
          <w:gridAfter w:val="1"/>
          <w:trHeight w:val="257"/>
        </w:trPr>
        <w:tc>
          <w:tcPr>
            <w:tcW w:w="2245" w:type="dxa"/>
            <w:shd w:val="clear" w:color="auto" w:fill="D9D9D9"/>
          </w:tcPr>
          <w:p w:rsidR="00931CB5" w:rsidRPr="00AC2C3E" w:rsidRDefault="00931CB5" w:rsidP="00A0456C">
            <w:pPr>
              <w:rPr>
                <w:b/>
                <w:bCs/>
                <w:color w:val="000000"/>
                <w:sz w:val="22"/>
                <w:szCs w:val="22"/>
              </w:rPr>
            </w:pPr>
            <w:r w:rsidRPr="00AC2C3E">
              <w:rPr>
                <w:b/>
                <w:bCs/>
                <w:color w:val="000000"/>
                <w:sz w:val="22"/>
                <w:szCs w:val="22"/>
              </w:rPr>
              <w:t>Obrazloženje iz</w:t>
            </w:r>
            <w:r>
              <w:rPr>
                <w:b/>
                <w:bCs/>
                <w:color w:val="000000"/>
                <w:sz w:val="22"/>
                <w:szCs w:val="22"/>
              </w:rPr>
              <w:t>vršenja s ciljevima koji su ostvareni provedbom</w:t>
            </w:r>
            <w:r w:rsidRPr="00AC2C3E">
              <w:rPr>
                <w:b/>
                <w:bCs/>
                <w:color w:val="000000"/>
                <w:sz w:val="22"/>
                <w:szCs w:val="22"/>
              </w:rPr>
              <w:t xml:space="preserve"> </w:t>
            </w:r>
          </w:p>
        </w:tc>
        <w:tc>
          <w:tcPr>
            <w:tcW w:w="7043" w:type="dxa"/>
            <w:gridSpan w:val="6"/>
            <w:shd w:val="clear" w:color="auto" w:fill="auto"/>
          </w:tcPr>
          <w:p w:rsidR="00931CB5" w:rsidRPr="003A3C1D" w:rsidRDefault="00931CB5" w:rsidP="00A0456C">
            <w:pPr>
              <w:rPr>
                <w:bCs/>
                <w:color w:val="000000"/>
              </w:rPr>
            </w:pPr>
            <w:r>
              <w:rPr>
                <w:bCs/>
                <w:color w:val="000000"/>
              </w:rPr>
              <w:t>U 2023. godini podmireno je ukupno 5 pravomoćnih presuda po tužbama zaposlenika radi isplate razlike plaće po povoljnijoj osnovici za razdoblje prosinac 2015. do siječanj 2017. godine. Preostalo nam je za isplatiti još jednu tužbu zaposlenika kada presuda bude pravomoćna i kada nam MZO doznači sredstva. Od planiranih 15.390,00 eura realizirano je 11.2087,93 eura što je 72,83 % realizacije planiranog iznos.</w:t>
            </w:r>
          </w:p>
        </w:tc>
      </w:tr>
      <w:tr w:rsidR="00931CB5" w:rsidRPr="003A3C1D" w:rsidTr="00A0456C">
        <w:trPr>
          <w:gridAfter w:val="1"/>
          <w:trHeight w:val="257"/>
        </w:trPr>
        <w:tc>
          <w:tcPr>
            <w:tcW w:w="0" w:type="auto"/>
            <w:gridSpan w:val="7"/>
            <w:shd w:val="clear" w:color="auto" w:fill="FFFFFF"/>
          </w:tcPr>
          <w:tbl>
            <w:tblPr>
              <w:tblW w:w="4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19"/>
              <w:gridCol w:w="1758"/>
            </w:tblGrid>
            <w:tr w:rsidR="00931CB5" w:rsidRPr="0033683A" w:rsidTr="00A0456C">
              <w:trPr>
                <w:trHeight w:val="192"/>
              </w:trPr>
              <w:tc>
                <w:tcPr>
                  <w:tcW w:w="1940" w:type="pct"/>
                  <w:shd w:val="clear" w:color="auto" w:fill="F2F2F2"/>
                </w:tcPr>
                <w:p w:rsidR="00931CB5" w:rsidRPr="00AC2C3E" w:rsidRDefault="00931CB5" w:rsidP="00A0456C">
                  <w:pPr>
                    <w:jc w:val="center"/>
                    <w:rPr>
                      <w:b/>
                      <w:bCs/>
                      <w:color w:val="000000"/>
                      <w:sz w:val="22"/>
                      <w:szCs w:val="22"/>
                    </w:rPr>
                  </w:pPr>
                  <w:r w:rsidRPr="00D55D1F">
                    <w:rPr>
                      <w:b/>
                      <w:bCs/>
                      <w:color w:val="000000"/>
                      <w:sz w:val="20"/>
                      <w:szCs w:val="20"/>
                    </w:rPr>
                    <w:t>P</w:t>
                  </w:r>
                  <w:r>
                    <w:rPr>
                      <w:b/>
                      <w:bCs/>
                      <w:color w:val="000000"/>
                      <w:sz w:val="20"/>
                      <w:szCs w:val="20"/>
                    </w:rPr>
                    <w:t xml:space="preserve">lan </w:t>
                  </w:r>
                  <w:r w:rsidRPr="00D55D1F">
                    <w:rPr>
                      <w:b/>
                      <w:bCs/>
                      <w:color w:val="000000"/>
                      <w:sz w:val="20"/>
                      <w:szCs w:val="20"/>
                    </w:rPr>
                    <w:t>202</w:t>
                  </w:r>
                  <w:r>
                    <w:rPr>
                      <w:b/>
                      <w:bCs/>
                      <w:color w:val="000000"/>
                      <w:sz w:val="20"/>
                      <w:szCs w:val="20"/>
                    </w:rPr>
                    <w:t>3</w:t>
                  </w:r>
                  <w:r w:rsidRPr="00D55D1F">
                    <w:rPr>
                      <w:b/>
                      <w:bCs/>
                      <w:color w:val="000000"/>
                      <w:sz w:val="20"/>
                      <w:szCs w:val="20"/>
                    </w:rPr>
                    <w:t>.</w:t>
                  </w:r>
                </w:p>
              </w:tc>
              <w:tc>
                <w:tcPr>
                  <w:tcW w:w="1934" w:type="pct"/>
                  <w:shd w:val="clear" w:color="auto" w:fill="F2F2F2"/>
                </w:tcPr>
                <w:p w:rsidR="00931CB5" w:rsidRPr="00AC2C3E" w:rsidRDefault="00931CB5" w:rsidP="00A0456C">
                  <w:pPr>
                    <w:jc w:val="center"/>
                    <w:rPr>
                      <w:b/>
                      <w:bCs/>
                      <w:color w:val="000000"/>
                      <w:sz w:val="22"/>
                      <w:szCs w:val="22"/>
                    </w:rPr>
                  </w:pPr>
                  <w:r>
                    <w:rPr>
                      <w:b/>
                      <w:bCs/>
                      <w:color w:val="000000"/>
                      <w:sz w:val="20"/>
                      <w:szCs w:val="20"/>
                    </w:rPr>
                    <w:t>Realizirano</w:t>
                  </w:r>
                  <w:r w:rsidRPr="00D55D1F">
                    <w:rPr>
                      <w:b/>
                      <w:bCs/>
                      <w:color w:val="000000"/>
                      <w:sz w:val="20"/>
                      <w:szCs w:val="20"/>
                    </w:rPr>
                    <w:t xml:space="preserve"> </w:t>
                  </w:r>
                  <w:r>
                    <w:rPr>
                      <w:b/>
                      <w:bCs/>
                      <w:color w:val="000000"/>
                      <w:sz w:val="20"/>
                      <w:szCs w:val="20"/>
                    </w:rPr>
                    <w:br/>
                    <w:t xml:space="preserve">siječanj – prosinac </w:t>
                  </w:r>
                  <w:r w:rsidRPr="00D55D1F">
                    <w:rPr>
                      <w:b/>
                      <w:bCs/>
                      <w:color w:val="000000"/>
                      <w:sz w:val="20"/>
                      <w:szCs w:val="20"/>
                    </w:rPr>
                    <w:t>202</w:t>
                  </w:r>
                  <w:r>
                    <w:rPr>
                      <w:b/>
                      <w:bCs/>
                      <w:color w:val="000000"/>
                      <w:sz w:val="20"/>
                      <w:szCs w:val="20"/>
                    </w:rPr>
                    <w:t>3.</w:t>
                  </w:r>
                </w:p>
              </w:tc>
              <w:tc>
                <w:tcPr>
                  <w:tcW w:w="1126" w:type="pct"/>
                  <w:shd w:val="clear" w:color="auto" w:fill="F2F2F2"/>
                </w:tcPr>
                <w:p w:rsidR="00931CB5" w:rsidRPr="00AC2C3E" w:rsidRDefault="00931CB5" w:rsidP="00A0456C">
                  <w:pPr>
                    <w:jc w:val="center"/>
                    <w:rPr>
                      <w:b/>
                      <w:bCs/>
                      <w:color w:val="000000"/>
                      <w:sz w:val="22"/>
                      <w:szCs w:val="22"/>
                    </w:rPr>
                  </w:pPr>
                  <w:r>
                    <w:rPr>
                      <w:b/>
                      <w:bCs/>
                      <w:color w:val="000000"/>
                      <w:sz w:val="20"/>
                      <w:szCs w:val="20"/>
                    </w:rPr>
                    <w:t>Indeks</w:t>
                  </w:r>
                </w:p>
              </w:tc>
            </w:tr>
            <w:tr w:rsidR="00931CB5" w:rsidRPr="00955E35" w:rsidTr="00A0456C">
              <w:trPr>
                <w:trHeight w:val="192"/>
              </w:trPr>
              <w:tc>
                <w:tcPr>
                  <w:tcW w:w="1940"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15.390,00 €</w:t>
                  </w:r>
                </w:p>
              </w:tc>
              <w:tc>
                <w:tcPr>
                  <w:tcW w:w="1934" w:type="pct"/>
                  <w:tcBorders>
                    <w:top w:val="single" w:sz="4" w:space="0" w:color="auto"/>
                    <w:left w:val="single" w:sz="4" w:space="0" w:color="auto"/>
                    <w:bottom w:val="single" w:sz="4" w:space="0" w:color="auto"/>
                    <w:right w:val="single" w:sz="4" w:space="0" w:color="auto"/>
                  </w:tcBorders>
                  <w:shd w:val="clear" w:color="auto" w:fill="auto"/>
                </w:tcPr>
                <w:p w:rsidR="00931CB5" w:rsidRPr="00D55D1F" w:rsidRDefault="00931CB5" w:rsidP="00A0456C">
                  <w:pPr>
                    <w:jc w:val="right"/>
                    <w:rPr>
                      <w:bCs/>
                      <w:color w:val="000000"/>
                      <w:sz w:val="22"/>
                      <w:szCs w:val="22"/>
                    </w:rPr>
                  </w:pPr>
                  <w:r>
                    <w:rPr>
                      <w:bCs/>
                      <w:color w:val="000000"/>
                      <w:sz w:val="22"/>
                      <w:szCs w:val="22"/>
                    </w:rPr>
                    <w:t>11.208,93 €</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31CB5" w:rsidRPr="00B41766" w:rsidRDefault="00931CB5" w:rsidP="00A0456C">
                  <w:pPr>
                    <w:jc w:val="right"/>
                    <w:rPr>
                      <w:bCs/>
                      <w:color w:val="000000"/>
                      <w:sz w:val="22"/>
                      <w:szCs w:val="22"/>
                    </w:rPr>
                  </w:pPr>
                  <w:r>
                    <w:rPr>
                      <w:bCs/>
                      <w:color w:val="000000"/>
                      <w:sz w:val="22"/>
                      <w:szCs w:val="22"/>
                    </w:rPr>
                    <w:t>72,8%</w:t>
                  </w:r>
                </w:p>
              </w:tc>
            </w:tr>
          </w:tbl>
          <w:p w:rsidR="00931CB5" w:rsidRPr="003A3C1D" w:rsidRDefault="00931CB5" w:rsidP="00A0456C">
            <w:pPr>
              <w:rPr>
                <w:bCs/>
                <w:color w:val="000000"/>
              </w:rPr>
            </w:pPr>
          </w:p>
        </w:tc>
      </w:tr>
      <w:tr w:rsidR="00931CB5" w:rsidRPr="00466EA6" w:rsidTr="00A0456C">
        <w:tblPrEx>
          <w:tblLook w:val="04A0" w:firstRow="1" w:lastRow="0" w:firstColumn="1" w:lastColumn="0" w:noHBand="0" w:noVBand="1"/>
        </w:tblPrEx>
        <w:trPr>
          <w:trHeight w:val="566"/>
        </w:trPr>
        <w:tc>
          <w:tcPr>
            <w:tcW w:w="0" w:type="auto"/>
            <w:shd w:val="clear" w:color="auto" w:fill="D9D9D9"/>
          </w:tcPr>
          <w:p w:rsidR="00931CB5" w:rsidRPr="00AD6019" w:rsidRDefault="00931CB5" w:rsidP="00A0456C">
            <w:pPr>
              <w:rPr>
                <w:b/>
                <w:sz w:val="20"/>
                <w:szCs w:val="20"/>
              </w:rPr>
            </w:pPr>
            <w:r w:rsidRPr="00AD6019">
              <w:rPr>
                <w:b/>
                <w:sz w:val="20"/>
                <w:szCs w:val="20"/>
              </w:rPr>
              <w:t xml:space="preserve">Pokazatelj </w:t>
            </w:r>
            <w:r>
              <w:rPr>
                <w:b/>
                <w:sz w:val="20"/>
                <w:szCs w:val="20"/>
              </w:rPr>
              <w:t>rezultata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Definicija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Jedinica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Polazna vrijednost 202</w:t>
            </w:r>
            <w:r>
              <w:rPr>
                <w:b/>
                <w:sz w:val="20"/>
                <w:szCs w:val="20"/>
              </w:rPr>
              <w:t>3</w:t>
            </w:r>
            <w:r w:rsidRPr="00AD6019">
              <w:rPr>
                <w:b/>
                <w:sz w:val="20"/>
                <w:szCs w:val="20"/>
              </w:rPr>
              <w:t>.</w:t>
            </w:r>
          </w:p>
        </w:tc>
        <w:tc>
          <w:tcPr>
            <w:tcW w:w="0" w:type="auto"/>
            <w:shd w:val="clear" w:color="auto" w:fill="D9D9D9"/>
          </w:tcPr>
          <w:p w:rsidR="00931CB5" w:rsidRPr="00AD6019" w:rsidRDefault="00931CB5" w:rsidP="00A0456C">
            <w:pPr>
              <w:jc w:val="center"/>
              <w:rPr>
                <w:b/>
                <w:sz w:val="20"/>
                <w:szCs w:val="20"/>
              </w:rPr>
            </w:pPr>
            <w:r>
              <w:rPr>
                <w:b/>
                <w:sz w:val="20"/>
                <w:szCs w:val="20"/>
              </w:rPr>
              <w:t>Izvor podataka</w:t>
            </w:r>
          </w:p>
        </w:tc>
        <w:tc>
          <w:tcPr>
            <w:tcW w:w="0" w:type="auto"/>
            <w:shd w:val="clear" w:color="auto" w:fill="D9D9D9"/>
          </w:tcPr>
          <w:p w:rsidR="00931CB5" w:rsidRPr="00AD6019" w:rsidRDefault="00931CB5" w:rsidP="00A0456C">
            <w:pPr>
              <w:jc w:val="center"/>
              <w:rPr>
                <w:b/>
                <w:sz w:val="20"/>
                <w:szCs w:val="20"/>
              </w:rPr>
            </w:pPr>
            <w:r w:rsidRPr="00AD6019">
              <w:rPr>
                <w:b/>
                <w:sz w:val="20"/>
                <w:szCs w:val="20"/>
              </w:rPr>
              <w:t>Ciljana vrijednost 202</w:t>
            </w:r>
            <w:r>
              <w:rPr>
                <w:b/>
                <w:sz w:val="20"/>
                <w:szCs w:val="20"/>
              </w:rPr>
              <w:t>3</w:t>
            </w:r>
            <w:r w:rsidRPr="00AD6019">
              <w:rPr>
                <w:b/>
                <w:sz w:val="20"/>
                <w:szCs w:val="20"/>
              </w:rPr>
              <w:t>.</w:t>
            </w:r>
          </w:p>
        </w:tc>
        <w:tc>
          <w:tcPr>
            <w:tcW w:w="0" w:type="auto"/>
            <w:gridSpan w:val="2"/>
            <w:shd w:val="clear" w:color="auto" w:fill="D9D9D9"/>
          </w:tcPr>
          <w:p w:rsidR="00931CB5" w:rsidRPr="00AD6019" w:rsidRDefault="00931CB5" w:rsidP="00A0456C">
            <w:pPr>
              <w:jc w:val="center"/>
              <w:rPr>
                <w:b/>
                <w:sz w:val="20"/>
                <w:szCs w:val="20"/>
              </w:rPr>
            </w:pPr>
            <w:r>
              <w:rPr>
                <w:b/>
                <w:sz w:val="20"/>
                <w:szCs w:val="20"/>
              </w:rPr>
              <w:t xml:space="preserve">Ostvarena </w:t>
            </w:r>
            <w:r w:rsidRPr="00AD6019">
              <w:rPr>
                <w:b/>
                <w:sz w:val="20"/>
                <w:szCs w:val="20"/>
              </w:rPr>
              <w:t>vrijednost 202</w:t>
            </w:r>
            <w:r>
              <w:rPr>
                <w:b/>
                <w:sz w:val="20"/>
                <w:szCs w:val="20"/>
              </w:rPr>
              <w:t>3</w:t>
            </w:r>
            <w:r w:rsidRPr="00AD6019">
              <w:rPr>
                <w:b/>
                <w:sz w:val="20"/>
                <w:szCs w:val="20"/>
              </w:rPr>
              <w:t>.</w:t>
            </w:r>
          </w:p>
        </w:tc>
      </w:tr>
      <w:tr w:rsidR="00931CB5" w:rsidTr="00A0456C">
        <w:tblPrEx>
          <w:tblLook w:val="04A0" w:firstRow="1" w:lastRow="0" w:firstColumn="1" w:lastColumn="0" w:noHBand="0" w:noVBand="1"/>
        </w:tblPrEx>
        <w:trPr>
          <w:trHeight w:val="190"/>
        </w:trPr>
        <w:tc>
          <w:tcPr>
            <w:tcW w:w="0" w:type="auto"/>
            <w:shd w:val="clear" w:color="auto" w:fill="auto"/>
          </w:tcPr>
          <w:p w:rsidR="00931CB5" w:rsidRPr="00365F80" w:rsidRDefault="00931CB5" w:rsidP="00A0456C">
            <w:pPr>
              <w:rPr>
                <w:sz w:val="14"/>
                <w:szCs w:val="14"/>
              </w:rPr>
            </w:pPr>
            <w:r w:rsidRPr="00365F80">
              <w:rPr>
                <w:sz w:val="14"/>
                <w:szCs w:val="14"/>
              </w:rPr>
              <w:t>Udio isplaćenih presuda u ukupnom broju pravomoćnih presuda</w:t>
            </w:r>
          </w:p>
        </w:tc>
        <w:tc>
          <w:tcPr>
            <w:tcW w:w="0" w:type="auto"/>
            <w:shd w:val="clear" w:color="auto" w:fill="auto"/>
          </w:tcPr>
          <w:p w:rsidR="00931CB5" w:rsidRPr="00365F80" w:rsidRDefault="00931CB5" w:rsidP="00A0456C">
            <w:pPr>
              <w:rPr>
                <w:sz w:val="14"/>
                <w:szCs w:val="14"/>
              </w:rPr>
            </w:pPr>
            <w:r w:rsidRPr="00365F80">
              <w:rPr>
                <w:sz w:val="14"/>
                <w:szCs w:val="14"/>
              </w:rPr>
              <w:t>Isplata naknade štete po sudskim presudama</w:t>
            </w:r>
          </w:p>
        </w:tc>
        <w:tc>
          <w:tcPr>
            <w:tcW w:w="0" w:type="auto"/>
          </w:tcPr>
          <w:p w:rsidR="00931CB5" w:rsidRPr="00365F80" w:rsidRDefault="00931CB5" w:rsidP="00A0456C">
            <w:pPr>
              <w:rPr>
                <w:sz w:val="14"/>
                <w:szCs w:val="14"/>
              </w:rPr>
            </w:pPr>
            <w:r w:rsidRPr="00365F80">
              <w:rPr>
                <w:sz w:val="14"/>
                <w:szCs w:val="14"/>
              </w:rPr>
              <w:t>%</w:t>
            </w:r>
          </w:p>
        </w:tc>
        <w:tc>
          <w:tcPr>
            <w:tcW w:w="0" w:type="auto"/>
            <w:shd w:val="clear" w:color="auto" w:fill="auto"/>
          </w:tcPr>
          <w:p w:rsidR="00931CB5" w:rsidRPr="00365F80" w:rsidRDefault="00931CB5" w:rsidP="00A0456C">
            <w:pPr>
              <w:rPr>
                <w:sz w:val="14"/>
                <w:szCs w:val="14"/>
              </w:rPr>
            </w:pPr>
            <w:r w:rsidRPr="00365F80">
              <w:rPr>
                <w:sz w:val="14"/>
                <w:szCs w:val="14"/>
              </w:rPr>
              <w:t>0</w:t>
            </w:r>
          </w:p>
        </w:tc>
        <w:tc>
          <w:tcPr>
            <w:tcW w:w="0" w:type="auto"/>
          </w:tcPr>
          <w:p w:rsidR="00931CB5" w:rsidRPr="00365F80" w:rsidRDefault="00931CB5" w:rsidP="00A0456C">
            <w:pPr>
              <w:rPr>
                <w:sz w:val="14"/>
                <w:szCs w:val="14"/>
              </w:rPr>
            </w:pPr>
            <w:r w:rsidRPr="00365F80">
              <w:rPr>
                <w:sz w:val="14"/>
                <w:szCs w:val="14"/>
              </w:rPr>
              <w:t>škola</w:t>
            </w:r>
          </w:p>
        </w:tc>
        <w:tc>
          <w:tcPr>
            <w:tcW w:w="0" w:type="auto"/>
            <w:shd w:val="clear" w:color="auto" w:fill="auto"/>
          </w:tcPr>
          <w:p w:rsidR="00931CB5" w:rsidRPr="00365F80" w:rsidRDefault="00931CB5" w:rsidP="00A0456C">
            <w:pPr>
              <w:rPr>
                <w:sz w:val="14"/>
                <w:szCs w:val="14"/>
              </w:rPr>
            </w:pPr>
            <w:r w:rsidRPr="00365F80">
              <w:rPr>
                <w:sz w:val="14"/>
                <w:szCs w:val="14"/>
              </w:rPr>
              <w:t>100</w:t>
            </w:r>
          </w:p>
        </w:tc>
        <w:tc>
          <w:tcPr>
            <w:tcW w:w="0" w:type="auto"/>
            <w:gridSpan w:val="2"/>
          </w:tcPr>
          <w:p w:rsidR="00931CB5" w:rsidRPr="00365F80" w:rsidRDefault="00931CB5" w:rsidP="00A0456C">
            <w:pPr>
              <w:rPr>
                <w:sz w:val="14"/>
                <w:szCs w:val="14"/>
              </w:rPr>
            </w:pPr>
            <w:r>
              <w:rPr>
                <w:sz w:val="14"/>
                <w:szCs w:val="14"/>
              </w:rPr>
              <w:t>73</w:t>
            </w:r>
          </w:p>
        </w:tc>
      </w:tr>
    </w:tbl>
    <w:p w:rsidR="00931CB5" w:rsidRDefault="00931CB5"/>
    <w:sectPr w:rsidR="00931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D3632"/>
    <w:multiLevelType w:val="hybridMultilevel"/>
    <w:tmpl w:val="B5E0E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9E0134E"/>
    <w:multiLevelType w:val="hybridMultilevel"/>
    <w:tmpl w:val="B3681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6D86A6A"/>
    <w:multiLevelType w:val="hybridMultilevel"/>
    <w:tmpl w:val="456A7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96C2D3B"/>
    <w:multiLevelType w:val="hybridMultilevel"/>
    <w:tmpl w:val="A9EE9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C983FE8"/>
    <w:multiLevelType w:val="hybridMultilevel"/>
    <w:tmpl w:val="C40A2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B5"/>
    <w:rsid w:val="00010A65"/>
    <w:rsid w:val="001D74D3"/>
    <w:rsid w:val="00841C8B"/>
    <w:rsid w:val="00931CB5"/>
    <w:rsid w:val="00A92CB5"/>
    <w:rsid w:val="00C76B8A"/>
    <w:rsid w:val="00C86A35"/>
    <w:rsid w:val="00F926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B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B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4C4F-165C-4E98-B8AD-C48C9930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3471</Words>
  <Characters>19789</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2024-03-18T09:36:00Z</cp:lastPrinted>
  <dcterms:created xsi:type="dcterms:W3CDTF">2024-03-18T09:09:00Z</dcterms:created>
  <dcterms:modified xsi:type="dcterms:W3CDTF">2024-03-18T10:31:00Z</dcterms:modified>
</cp:coreProperties>
</file>