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               </w:t>
      </w:r>
      <w:r>
        <w:rPr>
          <w:rFonts w:ascii="WeblySleek UI Light" w:hAnsi="WeblySleek UI Light" w:cs="WeblySleek UI Light"/>
          <w:noProof/>
          <w:sz w:val="22"/>
          <w:szCs w:val="22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/>
              <w:rPr>
                <w:rFonts w:ascii="WeblySleek UI Light" w:hAnsi="WeblySleek UI Light" w:cs="WeblySleek UI Light"/>
                <w:b/>
                <w:sz w:val="22"/>
                <w:szCs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  <w:szCs w:val="22"/>
              </w:rPr>
              <w:t xml:space="preserve">REPUBLIKA HRVATSKA</w:t>
            </w:r>
          </w:p>
          <w:p>
            <w:pPr>
              <w:spacing/>
              <w:rPr>
                <w:rFonts w:ascii="WeblySleek UI Light" w:hAnsi="WeblySleek UI Light" w:cs="WeblySleek UI Light"/>
                <w:b/>
                <w:sz w:val="22"/>
                <w:szCs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  <w:szCs w:val="22"/>
              </w:rPr>
              <w:t xml:space="preserve">OSNOVNA GLAZBENA ŠKOLA </w:t>
            </w:r>
          </w:p>
          <w:p>
            <w:pPr>
              <w:spacing/>
              <w:rPr>
                <w:rFonts w:ascii="WeblySleek UI Light" w:hAnsi="WeblySleek UI Light" w:cs="WeblySleek UI Light"/>
                <w:sz w:val="22"/>
                <w:szCs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  <w:szCs w:val="22"/>
              </w:rPr>
              <w:t xml:space="preserve">LOVRO PL. MATAČIĆ OMIŠ</w:t>
            </w:r>
            <w:r>
              <w:rPr>
                <w:rFonts w:ascii="WeblySleek UI Light" w:hAnsi="WeblySleek UI Light" w:cs="WeblySleek UI Light"/>
                <w:sz w:val="22"/>
                <w:szCs w:val="22"/>
              </w:rPr>
              <w:t xml:space="preserve">                                                                                                     Punta 1, 21310 Omiš                          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sz w:val="22"/>
                <w:szCs w:val="22"/>
                <w:lang w:val="en-US"/>
              </w:rPr>
              <w:t xml:space="preserve">112-01/26-01/22</w:t>
            </w:r>
            <w:r>
              <w:rPr>
                <w:rFonts w:ascii="WeblySleek UI Light" w:hAnsi="WeblySleek UI Light" w:cs="WeblySleek UI Light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WeblySleek UI Light" w:hAnsi="WeblySleek UI Light" w:cs="WeblySleek UI Light"/>
                <w:sz w:val="22"/>
                <w:szCs w:val="22"/>
              </w:rPr>
              <w:t xml:space="preserve">2155-1-12-26-1</w:t>
            </w:r>
            <w:r>
              <w:rPr>
                <w:rFonts w:ascii="WeblySleek UI Light" w:hAnsi="WeblySleek UI Light" w:cs="WeblySleek UI Light"/>
                <w:sz w:val="22"/>
                <w:szCs w:val="22"/>
              </w:rPr>
              <w:t xml:space="preserve">                                                                                                           Omiš,  </w:t>
            </w:r>
            <w:r>
              <w:rPr>
                <w:rFonts w:ascii="WeblySleek UI Light" w:hAnsi="WeblySleek UI Light" w:cs="WeblySleek UI Light"/>
                <w:sz w:val="22"/>
                <w:szCs w:val="22"/>
              </w:rPr>
              <w:t xml:space="preserve">19. ožujka 2026. godine</w:t>
            </w:r>
          </w:p>
        </w:tc>
        <w:tc>
          <w:tcPr>
            <w:tcW w:type="dxa" w:w="2693"/>
            <w:tcBorders/>
          </w:tcPr>
          <w:p>
            <w:pPr>
              <w:spacing/>
              <w:jc w:val="both"/>
              <w:rPr>
                <w:rFonts w:ascii="WeblySleek UI Light" w:hAnsi="WeblySleek UI Light" w:cs="WeblySleek UI Light"/>
                <w:sz w:val="22"/>
                <w:szCs w:val="22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      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Na temelju članka 14. Pravilnika o načinu i postupku zapošljavanja u Osnovnoj glazbenoj školi Lovro pl. Matačić Omiš,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 a vezano uz raspisani natječaj (KLASA: 112-01/26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-01/1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4, URBROJ:2155-1-12-26-1) od 9.3.2026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. za zasnivanje radn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og o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dnosa na radnom mjestu voditelj/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ica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 računovodstva u školi 1 na određeno vrijeme s punim radnim vremenom (zamjena) Povjerenstvo za vrednovanje kandidata  objavljuje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center"/>
        <w:rPr>
          <w:rFonts w:ascii="WeblySleek UI Semilight" w:hAnsi="WeblySleek UI Semilight" w:cs="WeblySleek UI Semilight"/>
          <w:b/>
          <w:sz w:val="22"/>
          <w:szCs w:val="22"/>
        </w:rPr>
      </w:pP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SARŽAJ I  NAČIN TESTIRANJA</w:t>
      </w:r>
    </w:p>
    <w:p>
      <w:pPr>
        <w:spacing/>
        <w:jc w:val="center"/>
        <w:rPr>
          <w:rFonts w:ascii="WeblySleek UI Semilight" w:hAnsi="WeblySleek UI Semilight" w:cs="WeblySleek UI Semilight"/>
          <w:b/>
          <w:sz w:val="22"/>
          <w:szCs w:val="22"/>
        </w:rPr>
      </w:pP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ZA PRIPREMANJE  KANDIDATA ZA TESTIRANJE</w:t>
      </w:r>
    </w:p>
    <w:p>
      <w:pPr>
        <w:spacing/>
        <w:jc w:val="center"/>
        <w:rPr>
          <w:rFonts w:ascii="WeblySleek UI Semilight" w:hAnsi="WeblySleek UI Semilight" w:cs="WeblySleek UI Semilight"/>
          <w:b/>
          <w:sz w:val="22"/>
          <w:szCs w:val="22"/>
        </w:rPr>
      </w:pPr>
    </w:p>
    <w:p>
      <w:pPr>
        <w:spacing/>
        <w:jc w:val="both"/>
        <w:rPr>
          <w:rFonts w:ascii="WeblySleek UI Semilight" w:hAnsi="WeblySleek UI Semilight" w:cs="WeblySleek UI Semilight"/>
          <w:b/>
          <w:sz w:val="22"/>
          <w:szCs w:val="22"/>
        </w:rPr>
      </w:pP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PRAVILA TESTIRANJA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: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Sukladno odredbama Pravilnika o načinu i postupku zapošljavanja u Osnovnoj glazbenoj školi Lovro pl. Matačić Omiš, obavit će se provjera znanja, sposobnosti, interesa i motivacije kandidata za rad u školi.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pStyle w:val="Odlomakpopisa"/>
        <w:numPr>
          <w:ilvl w:val="0"/>
          <w:numId w:val="1"/>
        </w:numPr>
        <w:spacing/>
        <w:ind w:left="360"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Za voditelj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/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icu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 računovodstva u školi 1 – 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određeno vrijeme s punim radnim vremenom (zamjena) - provjera će se obaviti 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usmenim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 testiranjem. </w:t>
      </w:r>
    </w:p>
    <w:p>
      <w:pPr>
        <w:pStyle w:val="Odlomakpopisa"/>
        <w:spacing/>
        <w:ind w:left="360"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pStyle w:val="Odlomakpopisa"/>
        <w:numPr>
          <w:ilvl w:val="0"/>
          <w:numId w:val="1"/>
        </w:numPr>
        <w:spacing/>
        <w:ind w:left="360"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Pravni i drugi izvori za pripremu kandidata su:</w:t>
      </w:r>
    </w:p>
    <w:p>
      <w:pPr>
        <w:pStyle w:val="Odlomakpopisa"/>
        <w:numPr>
          <w:ilvl w:val="0"/>
          <w:numId w:val="3"/>
        </w:num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Zakon o proračunu</w:t>
      </w:r>
    </w:p>
    <w:p>
      <w:pPr>
        <w:pStyle w:val="Odlomakpopisa"/>
        <w:numPr>
          <w:ilvl w:val="0"/>
          <w:numId w:val="3"/>
        </w:num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Zakon o Registru zaposlenih i centralnom obračunu plaća u državnoj službi i javnim službam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a</w:t>
      </w:r>
    </w:p>
    <w:p>
      <w:pPr>
        <w:pStyle w:val="Odlomakpopisa"/>
        <w:numPr>
          <w:ilvl w:val="0"/>
          <w:numId w:val="3"/>
        </w:num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Zakon o doprinosima</w:t>
      </w:r>
    </w:p>
    <w:p>
      <w:pPr>
        <w:pStyle w:val="Odlomakpopisa"/>
        <w:numPr>
          <w:ilvl w:val="0"/>
          <w:numId w:val="3"/>
        </w:num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Zakon o porezu na dohodak</w:t>
      </w:r>
    </w:p>
    <w:p>
      <w:pPr>
        <w:pStyle w:val="Odlomakpopisa"/>
        <w:numPr>
          <w:ilvl w:val="0"/>
          <w:numId w:val="3"/>
        </w:num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Pravilnik o proračunskom računovodstvu i Računskom planu</w:t>
      </w:r>
    </w:p>
    <w:p>
      <w:pPr>
        <w:pStyle w:val="Odlomakpopisa"/>
        <w:numPr>
          <w:ilvl w:val="0"/>
          <w:numId w:val="3"/>
        </w:num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Pravilnik o polugodišnjem i godišnjem izvještaju o izvršenju proračuna i financijskog plana</w:t>
      </w:r>
    </w:p>
    <w:p>
      <w:pPr>
        <w:pStyle w:val="Odlomakpopisa"/>
        <w:numPr>
          <w:ilvl w:val="0"/>
          <w:numId w:val="3"/>
        </w:num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TKU za zaposlenike u javnim službama</w:t>
      </w:r>
    </w:p>
    <w:p>
      <w:pPr>
        <w:pStyle w:val="Odlomakpopisa"/>
        <w:numPr>
          <w:ilvl w:val="0"/>
          <w:numId w:val="3"/>
        </w:num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TKU za zaposlenike u osnovnim školama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pStyle w:val="Odlomakpopisa"/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Usmeno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 testiranje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 i razgovor s povjerenstvom</w:t>
      </w:r>
      <w:bookmarkStart w:id="2" w:name="_GoBack"/>
      <w:bookmarkEnd w:id="2"/>
      <w:r>
        <w:rPr>
          <w:rFonts w:ascii="WeblySleek UI Semilight" w:hAnsi="WeblySleek UI Semilight" w:cs="WeblySleek UI Semilight"/>
          <w:sz w:val="22"/>
          <w:szCs w:val="22"/>
        </w:rPr>
        <w:t xml:space="preserve"> održat će se 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25.3.2026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. godine (srijeda) 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od 9,00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 sati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 u prostorijama škole na adresi Punta 1, 2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1310 Omiš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. Kandidati/kinje dobit će putem elektroničke pošte Poziv na 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usmeno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 t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estiranje i razgovor s povjerenstvom.</w:t>
      </w:r>
    </w:p>
    <w:p>
      <w:pPr>
        <w:pStyle w:val="Odlomakpopisa"/>
        <w:spacing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Kandidati/kinje koji se kandidiraju za voditelj/icu računovodstva u školi 1 na određeno vrijeme s punim radnim vremenom (zamjena) su obvezni pristupiti 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usmenom 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testiranju i razgovoru (intervju) s Povjerenstvom. 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both"/>
        <w:rPr>
          <w:rFonts w:ascii="WeblySleek UI Semilight" w:hAnsi="WeblySleek UI Semilight" w:cs="WeblySleek UI Semilight"/>
          <w:b/>
          <w:sz w:val="22"/>
          <w:szCs w:val="22"/>
        </w:rPr>
      </w:pP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Ako kandidat/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kinja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 ne pristup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i 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usmenom </w:t>
      </w:r>
      <w:r>
        <w:rPr>
          <w:rFonts w:ascii="WeblySleek UI Semilight" w:hAnsi="WeblySleek UI Semilight" w:cs="WeblySleek UI Semilight"/>
          <w:b/>
          <w:sz w:val="22"/>
          <w:szCs w:val="22"/>
        </w:rPr>
        <w:t xml:space="preserve">testiranju, smatra se da je povukao/kla prijavu na natječaj.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Kandidati/kinje su dužni ponijeti sa sobom osobnu iskaznicu ili drugu identifikacijsku javnu ispravu na temelju koje se utvrđuje prije testiranja identitet kandidata/kinje.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Testiranj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u ne mogu pristupiti kandidati/kinje koji ne mogu dokazati identitet i osobe za koje je Povjerenstvo utvrdilo da ne ispunjavaju formalne uvjete iz natječaja te čije prijave nisu pravodobne i potpune. 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Kandidati/kinje koji zakasne na termin određen za test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iranje, neće moći pristupiti testiranju.</w:t>
      </w: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Za vrijeme testiranja nije dopušteno: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koristiti mobitel ili druga komunikacijska sredstva</w:t>
      </w:r>
    </w:p>
    <w:p>
      <w:pPr>
        <w:pStyle w:val="Odlomakpopisa"/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both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right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                                                                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POVJERENSTVO ZA VREDNOVANJE KANDIDATA</w:t>
      </w:r>
    </w:p>
    <w:p>
      <w:pPr>
        <w:spacing/>
        <w:jc w:val="center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center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                                                                                 </w:t>
      </w:r>
    </w:p>
    <w:p>
      <w:pPr>
        <w:spacing/>
        <w:jc w:val="center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center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center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center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center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jc w:val="center"/>
        <w:rPr>
          <w:rFonts w:ascii="WeblySleek UI Semilight" w:hAnsi="WeblySleek UI Semilight" w:cs="WeblySleek UI Semilight"/>
          <w:sz w:val="22"/>
          <w:szCs w:val="22"/>
        </w:rPr>
      </w:pPr>
    </w:p>
    <w:p>
      <w:pPr>
        <w:spacing/>
        <w:rPr>
          <w:rFonts w:ascii="WeblySleek UI Semilight" w:hAnsi="WeblySleek UI Semilight" w:cs="WeblySleek UI Semilight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WeblySleek UI Light">
    <w:charset w:val="238"/>
    <w:family w:val="swiss"/>
    <w:pitch w:val="variable"/>
    <w:sig w:usb0="E4002EFF" w:usb1="C000E47F" w:usb2="00000009" w:usb3="00000000" w:csb0="000001FF" w:csb1="00000000"/>
  </w:font>
  <w:font w:name="WeblySleek UI Semilight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A126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7793113"/>
    <w:lvl w:ilvl="0">
      <w:start w:val="4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77D579F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3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Tahoma" w:hAnsi="Tahoma" w:eastAsia="Times New Roman" w:cs="Tahoma"/>
      <w:sz w:val="16"/>
      <w:szCs w:val="16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6A09-DA23-4384-8942-29C6451BD3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510</Words>
  <Characters>2908</Characters>
  <Application>Microsoft Office Word</Application>
  <DocSecurity>0</DocSecurity>
  <Lines>24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2026-03-19T11:31:00Z</dcterms:created>
  <dcterms:modified xsi:type="dcterms:W3CDTF">2026-03-19T11:31:00Z</dcterms:modified>
</cp:coreProperties>
</file>