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B1D2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1D23" w:rsidRDefault="008B1D23">
            <w:pPr>
              <w:pStyle w:val="tekst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8B1D2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1D23" w:rsidRDefault="00523DF5">
            <w:pPr>
              <w:spacing w:after="160" w:line="259" w:lineRule="auto"/>
              <w:rPr>
                <w:rFonts w:ascii="WeblySleek UI Light" w:eastAsiaTheme="minorHAnsi" w:hAnsi="WeblySleek UI Light" w:cs="WeblySleek UI Light"/>
                <w:sz w:val="22"/>
                <w:szCs w:val="22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WeblySleek UI Light" w:eastAsia="Calibri" w:hAnsi="WeblySleek UI Light" w:cs="WeblySleek UI Light"/>
                <w:noProof/>
                <w:color w:val="000000"/>
                <w:sz w:val="24"/>
                <w:szCs w:val="22"/>
                <w14:ligatures w14:val="standardContextual"/>
              </w:rPr>
              <w:drawing>
                <wp:inline distT="0" distB="0" distL="0" distR="0">
                  <wp:extent cx="476250" cy="560070"/>
                  <wp:effectExtent l="0" t="0" r="0" b="0"/>
                  <wp:docPr id="1" name="Slika 2" descr="C:\Users\ilija\Desktop\RAZNO\GR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eblySleek UI Light" w:eastAsiaTheme="minorHAnsi" w:hAnsi="WeblySleek UI Light" w:cs="WeblySleek UI Light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</w:t>
            </w:r>
            <w:r>
              <w:rPr>
                <w:rFonts w:ascii="WeblySleek UI Light" w:eastAsiaTheme="minorHAnsi" w:hAnsi="WeblySleek UI Light" w:cs="WeblySleek UI Light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WeblySleek UI Light" w:eastAsiaTheme="minorHAnsi" w:hAnsi="WeblySleek UI Light" w:cs="WeblySleek UI Light"/>
                <w:sz w:val="22"/>
                <w:szCs w:val="22"/>
                <w:lang w:eastAsia="en-US"/>
              </w:rPr>
              <w:t xml:space="preserve">                                            </w:t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2693"/>
            </w:tblGrid>
            <w:tr w:rsidR="008B1D23">
              <w:tc>
                <w:tcPr>
                  <w:tcW w:w="6379" w:type="dxa"/>
                </w:tcPr>
                <w:p w:rsidR="008B1D23" w:rsidRDefault="00523DF5">
                  <w:pPr>
                    <w:spacing w:line="259" w:lineRule="auto"/>
                    <w:rPr>
                      <w:rFonts w:ascii="WeblySleek UI Light" w:eastAsiaTheme="minorHAnsi" w:hAnsi="WeblySleek UI Light" w:cs="WeblySleek UI Light"/>
                      <w:b/>
                      <w:sz w:val="22"/>
                      <w:szCs w:val="22"/>
                      <w:lang w:eastAsia="en-US"/>
                    </w:rPr>
                  </w:pPr>
                  <w:bookmarkStart w:id="1" w:name="_Hlk128748807"/>
                  <w:r>
                    <w:rPr>
                      <w:rFonts w:ascii="WeblySleek UI Light" w:eastAsiaTheme="minorHAnsi" w:hAnsi="WeblySleek UI Light" w:cs="WeblySleek UI Light"/>
                      <w:b/>
                      <w:sz w:val="22"/>
                      <w:szCs w:val="22"/>
                      <w:lang w:eastAsia="en-US"/>
                    </w:rPr>
                    <w:t>REPUBLIKA HRVATSKA</w:t>
                  </w:r>
                </w:p>
                <w:p w:rsidR="008B1D23" w:rsidRDefault="00523DF5">
                  <w:pPr>
                    <w:spacing w:line="259" w:lineRule="auto"/>
                    <w:rPr>
                      <w:rFonts w:ascii="WeblySleek UI Light" w:eastAsiaTheme="minorHAnsi" w:hAnsi="WeblySleek UI Light" w:cs="WeblySleek UI Light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WeblySleek UI Light" w:eastAsiaTheme="minorHAnsi" w:hAnsi="WeblySleek UI Light" w:cs="WeblySleek UI Light"/>
                      <w:b/>
                      <w:sz w:val="22"/>
                      <w:szCs w:val="22"/>
                      <w:lang w:eastAsia="en-US"/>
                    </w:rPr>
                    <w:t xml:space="preserve">OSNOVNA GLAZBENA ŠKOLA </w:t>
                  </w:r>
                </w:p>
                <w:p w:rsidR="008B1D23" w:rsidRDefault="00523DF5">
                  <w:pPr>
                    <w:spacing w:line="259" w:lineRule="auto"/>
                    <w:rPr>
                      <w:rFonts w:ascii="WeblySleek UI Light" w:eastAsiaTheme="minorHAnsi" w:hAnsi="WeblySleek UI Light" w:cs="WeblySleek U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WeblySleek UI Light" w:eastAsiaTheme="minorHAnsi" w:hAnsi="WeblySleek UI Light" w:cs="WeblySleek UI Light"/>
                      <w:b/>
                      <w:sz w:val="22"/>
                      <w:szCs w:val="22"/>
                      <w:lang w:eastAsia="en-US"/>
                    </w:rPr>
                    <w:t>LOVRO PL. MATAČIĆ OMIŠ</w:t>
                  </w:r>
                  <w:r>
                    <w:rPr>
                      <w:rFonts w:ascii="WeblySleek UI Light" w:eastAsiaTheme="minorHAnsi" w:hAnsi="WeblySleek UI Light" w:cs="WeblySleek UI Light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Punta 1, 21310 Omiš                          </w:t>
                  </w:r>
                  <w:r>
                    <w:rPr>
                      <w:rFonts w:ascii="WeblySleek UI Light" w:eastAsiaTheme="minorHAnsi" w:hAnsi="WeblySleek UI Light" w:cs="WeblySleek UI Light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KLASA: </w:t>
                  </w:r>
                  <w:r>
                    <w:rPr>
                      <w:rFonts w:ascii="WeblySleek UI Light" w:eastAsia="Calibri" w:hAnsi="WeblySleek UI Light" w:cs="WeblySleek UI Light"/>
                      <w:noProof/>
                      <w:color w:val="000000"/>
                      <w:sz w:val="24"/>
                      <w:szCs w:val="22"/>
                      <w:lang w:val="en-US"/>
                    </w:rPr>
                    <w:t>112-01/26-01/39</w:t>
                  </w:r>
                  <w:r>
                    <w:rPr>
                      <w:rFonts w:ascii="WeblySleek UI Light" w:eastAsiaTheme="minorHAnsi" w:hAnsi="WeblySleek UI Light" w:cs="WeblySleek UI Light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WeblySleek UI Light" w:eastAsiaTheme="minorHAnsi" w:hAnsi="WeblySleek UI Light" w:cs="WeblySleek UI Light"/>
                      <w:noProof/>
                      <w:sz w:val="22"/>
                      <w:szCs w:val="22"/>
                      <w:lang w:eastAsia="en-US"/>
                    </w:rPr>
                    <w:t>2155-1-12-01-2</w:t>
                  </w:r>
                  <w:r>
                    <w:rPr>
                      <w:rFonts w:ascii="WeblySleek UI Light" w:eastAsiaTheme="minorHAnsi" w:hAnsi="WeblySleek UI Light" w:cs="WeblySleek UI Light"/>
                      <w:noProof/>
                      <w:sz w:val="22"/>
                      <w:szCs w:val="22"/>
                      <w:lang w:eastAsia="en-US"/>
                    </w:rPr>
                    <w:t>6-1</w:t>
                  </w:r>
                  <w:r>
                    <w:rPr>
                      <w:rFonts w:ascii="WeblySleek UI Light" w:eastAsiaTheme="minorHAnsi" w:hAnsi="WeblySleek UI Light" w:cs="WeblySleek UI Light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Omiš,  12. svibnja 2026.godine</w:t>
                  </w:r>
                </w:p>
              </w:tc>
              <w:tc>
                <w:tcPr>
                  <w:tcW w:w="2693" w:type="dxa"/>
                </w:tcPr>
                <w:p w:rsidR="008B1D23" w:rsidRDefault="00523DF5">
                  <w:pPr>
                    <w:spacing w:after="160" w:line="259" w:lineRule="auto"/>
                    <w:jc w:val="right"/>
                    <w:rPr>
                      <w:rFonts w:ascii="WeblySleek UI Light" w:eastAsiaTheme="minorHAnsi" w:hAnsi="WeblySleek UI Light" w:cs="WeblySleek UI Light"/>
                      <w:sz w:val="22"/>
                      <w:szCs w:val="22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bookmarkEnd w:id="1"/>
          </w:tbl>
          <w:p w:rsidR="008B1D23" w:rsidRDefault="008B1D23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Na temelju članaka  14. , 15., 16. i 17. Pravilnik  o načinu i postupku zapošljavanja u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Osnovnoj glazbenoj školi „Lovro pl. Matačić“ Omiš, Povjerenstvo za vrednovanje kandidata, na radno mjesto </w:t>
            </w:r>
            <w:r>
              <w:rPr>
                <w:rFonts w:ascii="WeblySleek UI Semilight" w:hAnsi="WeblySleek UI Semilight" w:cs="WeblySleek UI Semilight"/>
                <w:i/>
                <w:color w:val="000000"/>
                <w:sz w:val="24"/>
                <w:szCs w:val="24"/>
                <w:lang w:eastAsia="en-US"/>
              </w:rPr>
              <w:t>Tajnik školske ustanove 1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, na neodređeno vrijeme, objavljuje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  <w:t xml:space="preserve">       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</w:r>
          </w:p>
          <w:p w:rsidR="008B1D23" w:rsidRDefault="00523DF5">
            <w:pPr>
              <w:jc w:val="center"/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  <w:t>POZIV</w:t>
            </w:r>
          </w:p>
          <w:p w:rsidR="008B1D23" w:rsidRDefault="00523DF5">
            <w:pPr>
              <w:jc w:val="center"/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  <w:t>NA PRETHODNU PROVJERU ZNANJA I SPOSOBNOSTI</w:t>
            </w:r>
          </w:p>
          <w:p w:rsidR="008B1D23" w:rsidRDefault="00523DF5">
            <w:pPr>
              <w:jc w:val="center"/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  <w:t>(PISANO TESTIRANJE)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</w:r>
          </w:p>
          <w:p w:rsidR="008B1D23" w:rsidRDefault="00523DF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Povjeren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stvo je utvrdilo da pisanom testiranju mogu  pristupiti  kandidati: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Blažević Maretić Adriana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Bečić Paula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Grbavac Ante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Marović Marjeta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Meštrović Anja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Nazor Marija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Radoš Katarina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Slipčević Anamarija</w:t>
            </w:r>
          </w:p>
          <w:p w:rsidR="008B1D23" w:rsidRDefault="00523DF5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Vekić Darko</w:t>
            </w:r>
          </w:p>
          <w:p w:rsidR="008B1D23" w:rsidRDefault="008B1D23">
            <w:pPr>
              <w:jc w:val="both"/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B1D23" w:rsidRDefault="00523DF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b/>
                <w:color w:val="000000"/>
                <w:sz w:val="24"/>
                <w:szCs w:val="24"/>
                <w:lang w:eastAsia="en-US"/>
              </w:rPr>
              <w:t>P</w:t>
            </w:r>
            <w:r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  <w:t>isano testiranje  održat će se dana 19. svibn</w:t>
            </w:r>
            <w:r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  <w:t xml:space="preserve">ja 2026. godine (utorak)  u 15.00 sati u  Omišu, Punta 1.  </w:t>
            </w:r>
          </w:p>
          <w:p w:rsidR="008B1D23" w:rsidRDefault="008B1D23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Pravni izvori za pripremu kandidata za provjeru znanja su:</w:t>
            </w: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sz w:val="24"/>
                <w:szCs w:val="24"/>
              </w:rPr>
            </w:pPr>
            <w:r>
              <w:rPr>
                <w:rFonts w:ascii="WeblySleek UI Semilight" w:hAnsi="WeblySleek UI Semilight" w:cs="WeblySleek UI Semilight"/>
                <w:sz w:val="24"/>
                <w:szCs w:val="24"/>
              </w:rPr>
              <w:t xml:space="preserve">- Zakon o odgoju i obrazovanju u osnovnoj i srednjoj školi (Narodne novine, broj 87/08., 86/09, 92/10.,105/10.,90/11., 16/12. , 86/12., </w:t>
            </w:r>
            <w:r>
              <w:rPr>
                <w:rFonts w:ascii="WeblySleek UI Semilight" w:hAnsi="WeblySleek UI Semilight" w:cs="WeblySleek UI Semilight"/>
                <w:sz w:val="24"/>
                <w:szCs w:val="24"/>
              </w:rPr>
              <w:t xml:space="preserve">94/13, 152/14. ,7/17., 68/18. , 98/19. , 64/20., 151/22. i 156/23.) </w:t>
            </w: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sz w:val="24"/>
                <w:szCs w:val="24"/>
              </w:rPr>
            </w:pPr>
            <w:r>
              <w:rPr>
                <w:rFonts w:ascii="WeblySleek UI Semilight" w:hAnsi="WeblySleek UI Semilight" w:cs="WeblySleek UI Semilight"/>
                <w:sz w:val="24"/>
                <w:szCs w:val="24"/>
              </w:rPr>
              <w:t>- Zakon o umjetničkom obrazovanju (Narodne novine, broj 130/11.)</w:t>
            </w:r>
          </w:p>
          <w:p w:rsidR="008B1D23" w:rsidRDefault="008B1D23">
            <w:pPr>
              <w:jc w:val="both"/>
              <w:rPr>
                <w:rFonts w:ascii="WeblySleek UI Semilight" w:hAnsi="WeblySleek UI Semilight" w:cs="WeblySleek UI Semilight"/>
                <w:sz w:val="24"/>
                <w:szCs w:val="24"/>
              </w:rPr>
            </w:pP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sz w:val="24"/>
                <w:szCs w:val="24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Na testiranje je potrebno predočiti osobnu iskaznicu. </w:t>
            </w:r>
          </w:p>
          <w:p w:rsidR="008B1D23" w:rsidRDefault="008B1D23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Ne postoji mogućnost naknadnog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pisanog testiranja, bez obzira na razloge koji 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lastRenderedPageBreak/>
              <w:t xml:space="preserve">kandidate eventualno priječe da testiranju pristupe u naznačeno vrijeme. </w:t>
            </w:r>
          </w:p>
          <w:p w:rsidR="008B1D23" w:rsidRDefault="008B1D23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Smatra se da je kandidat  povukao prijavu na javni natječaj, ako se  navedenog dana ne odazove do 15,00 sati, bez obzira na razloge.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Smatrat će se da je prijava povučena ako se ne poštuju pravila ponašanja na testiranju, s kojima će se  upoznati prije početka testiranja.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  <w:t xml:space="preserve"> 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  <w:t xml:space="preserve">Pisani test sastojat će se od 20 pitanja. Svako pitanje bodovat će se s 1 bodom.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  <w:t>Testiranje traje najviše 45 mi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nuta. </w:t>
            </w:r>
          </w:p>
          <w:p w:rsidR="008B1D23" w:rsidRDefault="008B1D23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S kandidatima koji na pisanom testiranju ostvare najmanje 50% bodova  </w:t>
            </w:r>
            <w:r>
              <w:rPr>
                <w:rFonts w:ascii="WeblySleek UI Semilight" w:hAnsi="WeblySleek UI Semilight" w:cs="WeblySleek UI Semilight"/>
                <w:b/>
                <w:color w:val="000000"/>
                <w:sz w:val="24"/>
                <w:szCs w:val="24"/>
                <w:lang w:eastAsia="en-US"/>
              </w:rPr>
              <w:t>obavit će se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WeblySleek UI Semilight" w:hAnsi="WeblySleek UI Semilight" w:cs="WeblySleek UI Semilight"/>
                <w:b/>
                <w:color w:val="000000"/>
                <w:sz w:val="24"/>
                <w:szCs w:val="24"/>
                <w:lang w:eastAsia="en-US"/>
              </w:rPr>
              <w:t>intervju istog dana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, neposredno nakon pisanog testiranja.</w:t>
            </w: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>  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ascii="WeblySleek UI Semilight" w:hAnsi="WeblySleek UI Semilight" w:cs="WeblySleek UI Semilight"/>
                <w:b/>
                <w:bCs/>
                <w:color w:val="000000"/>
                <w:sz w:val="24"/>
                <w:szCs w:val="24"/>
                <w:lang w:eastAsia="en-US"/>
              </w:rPr>
              <w:t xml:space="preserve">V.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Ovaj poziv objavljuje se na web-stranici Osnovne glazbene škole Lovro pl. Matačić Omiš.      </w:t>
            </w:r>
          </w:p>
          <w:p w:rsidR="008B1D23" w:rsidRDefault="008B1D23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                                              </w:t>
            </w: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PREDSJEDNICA  POVJERENSTVA </w:t>
            </w: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br/>
              <w:t xml:space="preserve">        </w:t>
            </w:r>
          </w:p>
          <w:p w:rsidR="008B1D23" w:rsidRDefault="00523DF5">
            <w:pPr>
              <w:jc w:val="both"/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WeblySleek UI Semilight" w:hAnsi="WeblySleek UI Semilight" w:cs="WeblySleek UI Semilight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</w:t>
            </w:r>
          </w:p>
        </w:tc>
      </w:tr>
    </w:tbl>
    <w:p w:rsidR="008B1D23" w:rsidRDefault="008B1D23">
      <w:pPr>
        <w:rPr>
          <w:rFonts w:ascii="WeblySleek UI Semilight" w:hAnsi="WeblySleek UI Semilight" w:cs="WeblySleek UI Semilight"/>
        </w:rPr>
      </w:pPr>
    </w:p>
    <w:sectPr w:rsidR="008B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lySleek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lySleek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7F7"/>
    <w:multiLevelType w:val="multilevel"/>
    <w:tmpl w:val="C77C98FA"/>
    <w:lvl w:ilvl="0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5D72CB"/>
    <w:multiLevelType w:val="multilevel"/>
    <w:tmpl w:val="38EAB87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A19BE"/>
    <w:multiLevelType w:val="multilevel"/>
    <w:tmpl w:val="F8C8BC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23"/>
    <w:rsid w:val="00523DF5"/>
    <w:rsid w:val="008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2026-05-12T14:40:00Z</cp:lastPrinted>
  <dcterms:created xsi:type="dcterms:W3CDTF">2026-05-12T16:03:00Z</dcterms:created>
  <dcterms:modified xsi:type="dcterms:W3CDTF">2026-05-12T16:03:00Z</dcterms:modified>
</cp:coreProperties>
</file>