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EF" w:rsidRDefault="00EC37C7">
      <w:pPr>
        <w:spacing w:after="160" w:line="259" w:lineRule="auto"/>
        <w:rPr>
          <w:rFonts w:ascii="WeblySleek UI Light" w:eastAsiaTheme="minorHAnsi" w:hAnsi="WeblySleek UI Light" w:cs="WeblySleek UI Light"/>
          <w:sz w:val="22"/>
          <w:szCs w:val="20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</w:t>
      </w:r>
      <w:r>
        <w:rPr>
          <w:rFonts w:ascii="WeblySleek UI Light" w:eastAsiaTheme="minorHAnsi" w:hAnsi="WeblySleek UI Light" w:cs="WeblySleek UI Light"/>
          <w:b/>
          <w:sz w:val="22"/>
          <w:szCs w:val="20"/>
          <w:lang w:eastAsia="en-US"/>
        </w:rPr>
        <w:t xml:space="preserve">   </w:t>
      </w:r>
      <w:r>
        <w:rPr>
          <w:rFonts w:ascii="WeblySleek UI Light" w:eastAsiaTheme="minorHAnsi" w:hAnsi="WeblySleek UI Light" w:cs="WeblySleek UI Light"/>
          <w:noProof/>
          <w:sz w:val="16"/>
          <w:szCs w:val="20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eblySleek UI Light" w:eastAsiaTheme="minorHAnsi" w:hAnsi="WeblySleek UI Light" w:cs="WeblySleek UI Light"/>
          <w:b/>
          <w:sz w:val="22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WeblySleek UI Light" w:eastAsiaTheme="minorHAnsi" w:hAnsi="WeblySleek UI Light" w:cs="WeblySleek UI Light"/>
          <w:sz w:val="22"/>
          <w:szCs w:val="20"/>
          <w:lang w:eastAsia="en-US"/>
        </w:rPr>
        <w:t xml:space="preserve">                                            </w:t>
      </w:r>
    </w:p>
    <w:tbl>
      <w:tblPr>
        <w:tblStyle w:val="Reetkatablic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316EF">
        <w:tc>
          <w:tcPr>
            <w:tcW w:w="6379" w:type="dxa"/>
          </w:tcPr>
          <w:p w:rsidR="00E316EF" w:rsidRDefault="00EC37C7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szCs w:val="20"/>
                <w:lang w:eastAsia="en-US"/>
              </w:rPr>
            </w:pPr>
            <w:bookmarkStart w:id="0" w:name="_Hlk128748807"/>
            <w:r>
              <w:rPr>
                <w:rFonts w:ascii="WeblySleek UI Light" w:eastAsiaTheme="minorHAnsi" w:hAnsi="WeblySleek UI Light" w:cs="WeblySleek UI Light"/>
                <w:b/>
                <w:sz w:val="22"/>
                <w:szCs w:val="20"/>
                <w:lang w:eastAsia="en-US"/>
              </w:rPr>
              <w:t>REPUBLIKA HRVATSKA</w:t>
            </w:r>
          </w:p>
          <w:p w:rsidR="00E316EF" w:rsidRDefault="00EC37C7">
            <w:pPr>
              <w:spacing w:line="259" w:lineRule="auto"/>
              <w:rPr>
                <w:rFonts w:ascii="WeblySleek UI Light" w:eastAsiaTheme="minorHAnsi" w:hAnsi="WeblySleek UI Light" w:cs="WeblySleek UI Light"/>
                <w:b/>
                <w:sz w:val="22"/>
                <w:szCs w:val="20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szCs w:val="20"/>
                <w:lang w:eastAsia="en-US"/>
              </w:rPr>
              <w:t xml:space="preserve">OSNOVNA GLAZBENA ŠKOLA </w:t>
            </w:r>
          </w:p>
          <w:p w:rsidR="00E316EF" w:rsidRDefault="00EC37C7">
            <w:pPr>
              <w:spacing w:line="259" w:lineRule="auto"/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</w:pPr>
            <w:r>
              <w:rPr>
                <w:rFonts w:ascii="WeblySleek UI Light" w:eastAsiaTheme="minorHAnsi" w:hAnsi="WeblySleek UI Light" w:cs="WeblySleek UI Light"/>
                <w:b/>
                <w:sz w:val="22"/>
                <w:szCs w:val="20"/>
                <w:lang w:eastAsia="en-US"/>
              </w:rPr>
              <w:t>LOVRO PL. MATAČIĆ OMIŠ</w:t>
            </w:r>
            <w:r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  <w:t xml:space="preserve">                                                                                                     Punta 1, 21310 Omiš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  <w:t xml:space="preserve">                                                                            KLASA: </w:t>
            </w:r>
            <w:r w:rsidRPr="00EC37C7">
              <w:rPr>
                <w:rFonts w:ascii="WeblySleek UI Light" w:eastAsiaTheme="minorHAnsi" w:hAnsi="WeblySleek UI Light" w:cs="WeblySleek UI Light"/>
                <w:noProof/>
                <w:sz w:val="22"/>
                <w:szCs w:val="22"/>
                <w:lang w:val="en-US" w:eastAsia="en-US"/>
              </w:rPr>
              <w:t>008-03/26-01/1</w:t>
            </w:r>
            <w:r w:rsidRPr="00EC37C7">
              <w:rPr>
                <w:rFonts w:ascii="WeblySleek UI Light" w:eastAsiaTheme="minorHAnsi" w:hAnsi="WeblySleek UI Light" w:cs="WeblySleek UI Light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  <w:t xml:space="preserve">URBROJ: 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szCs w:val="20"/>
                <w:lang w:eastAsia="en-US"/>
              </w:rPr>
              <w:t>2155-1-12-01-26</w:t>
            </w:r>
            <w:r>
              <w:rPr>
                <w:rFonts w:ascii="WeblySleek UI Light" w:eastAsiaTheme="minorHAnsi" w:hAnsi="WeblySleek UI Light" w:cs="WeblySleek UI Light"/>
                <w:noProof/>
                <w:sz w:val="22"/>
                <w:szCs w:val="20"/>
                <w:lang w:eastAsia="en-US"/>
              </w:rPr>
              <w:t>-1</w:t>
            </w:r>
            <w:r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  <w:t xml:space="preserve">                                                           </w:t>
            </w:r>
            <w:bookmarkStart w:id="1" w:name="_GoBack"/>
            <w:bookmarkEnd w:id="1"/>
            <w:r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  <w:t xml:space="preserve">                                                Omiš,  29.05.2026.</w:t>
            </w:r>
          </w:p>
          <w:p w:rsidR="00E316EF" w:rsidRDefault="00E316EF">
            <w:pPr>
              <w:spacing w:line="259" w:lineRule="auto"/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E316EF" w:rsidRDefault="00EC37C7">
            <w:pPr>
              <w:spacing w:after="160" w:line="259" w:lineRule="auto"/>
              <w:jc w:val="right"/>
              <w:rPr>
                <w:rFonts w:ascii="WeblySleek UI Light" w:eastAsiaTheme="minorHAnsi" w:hAnsi="WeblySleek UI Light" w:cs="WeblySleek UI Light"/>
                <w:sz w:val="22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E316EF" w:rsidRDefault="00EC37C7">
      <w:pPr>
        <w:spacing w:before="240" w:after="160"/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Na temelju članka 13. Zakona o pravu na pristup informacijama  (,,Narodne novine˝, br. 25/13 i 85/15) ravnatelj Osnovne glaz</w:t>
      </w: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bene škole ”Lovro pl. Matačić” Omiš donosi:</w:t>
      </w:r>
    </w:p>
    <w:p w:rsidR="00E316EF" w:rsidRDefault="00EC37C7">
      <w:pPr>
        <w:spacing w:after="120"/>
        <w:jc w:val="center"/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  <w:t>ODLUKU</w:t>
      </w:r>
    </w:p>
    <w:p w:rsidR="00E316EF" w:rsidRDefault="00EC37C7">
      <w:pPr>
        <w:spacing w:after="120"/>
        <w:jc w:val="center"/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  <w:t>O IMENOVANJU SLUŽBENIKA ZA INFORMIRANJE</w:t>
      </w:r>
    </w:p>
    <w:p w:rsidR="00E316EF" w:rsidRDefault="00EC37C7">
      <w:pPr>
        <w:jc w:val="center"/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  <w:t>I.</w:t>
      </w:r>
    </w:p>
    <w:p w:rsidR="00E316EF" w:rsidRDefault="00EC37C7">
      <w:pPr>
        <w:jc w:val="both"/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Ovom odlukom imenuje se  Marjeta Marović kao Službenik za informiranje u Osnovnoj glazbenoj školi ”Lovro pl. Matačić” Omiš.</w:t>
      </w:r>
    </w:p>
    <w:p w:rsidR="00E316EF" w:rsidRDefault="00EC37C7">
      <w:pPr>
        <w:spacing w:after="120"/>
        <w:jc w:val="center"/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  <w:t>II.</w:t>
      </w:r>
    </w:p>
    <w:p w:rsidR="00E316EF" w:rsidRDefault="00EC37C7">
      <w:pPr>
        <w:spacing w:after="120"/>
        <w:jc w:val="both"/>
        <w:rPr>
          <w:rFonts w:ascii="WeblySleek UI Semilight" w:eastAsiaTheme="minorHAnsi" w:hAnsi="WeblySleek UI Semilight" w:cs="WeblySleek UI Semilight"/>
          <w:bCs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Cs/>
          <w:sz w:val="22"/>
          <w:szCs w:val="22"/>
          <w:lang w:eastAsia="en-US"/>
        </w:rPr>
        <w:t>Službenik za informiranje.</w:t>
      </w:r>
    </w:p>
    <w:p w:rsidR="00E316EF" w:rsidRDefault="00EC37C7">
      <w:pPr>
        <w:pStyle w:val="Odlomakpopisa"/>
        <w:numPr>
          <w:ilvl w:val="0"/>
          <w:numId w:val="1"/>
        </w:numPr>
        <w:spacing w:after="120"/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Obavlja poslove rješavanja pojedinačnih zahtjeva i redovitog objavljivanja informacija, sukladno unutarnjem ustrojstvu i radu školski službi</w:t>
      </w:r>
    </w:p>
    <w:p w:rsidR="00E316EF" w:rsidRDefault="00EC37C7">
      <w:pPr>
        <w:pStyle w:val="Odlomakpopisa"/>
        <w:numPr>
          <w:ilvl w:val="0"/>
          <w:numId w:val="1"/>
        </w:numPr>
        <w:spacing w:after="120"/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Unapređuje način obrade, klasificiranje, čuvanja i objavljivanja informacije koje su sadržane u službenim dokumenti</w:t>
      </w: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ma koji se odnose na rad Osnovne glazbene škole ”Lovro pl. Matačić” Omiš kao tijela javne vlasti</w:t>
      </w:r>
    </w:p>
    <w:p w:rsidR="00E316EF" w:rsidRDefault="00EC37C7">
      <w:pPr>
        <w:pStyle w:val="Odlomakpopisa"/>
        <w:numPr>
          <w:ilvl w:val="0"/>
          <w:numId w:val="1"/>
        </w:numPr>
        <w:spacing w:after="120"/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Osigurava neophodnu pomoć podnositeljima zahtjev u vezi s ostvarivanjem prva utvrđenih Zakonom o pravu na pristup informacijama,</w:t>
      </w:r>
    </w:p>
    <w:p w:rsidR="00E316EF" w:rsidRDefault="00EC37C7">
      <w:pPr>
        <w:pStyle w:val="Odlomakpopisa"/>
        <w:numPr>
          <w:ilvl w:val="0"/>
          <w:numId w:val="1"/>
        </w:numPr>
        <w:spacing w:after="120"/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Obavlja i druge poslove utvrđe</w:t>
      </w: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ne Zakonom o pravu na pristup informacijama i podzakonskim propisima koji su donijeti na temelju tog Zakona.</w:t>
      </w:r>
    </w:p>
    <w:p w:rsidR="00E316EF" w:rsidRDefault="00EC37C7">
      <w:pPr>
        <w:jc w:val="center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b/>
          <w:bCs/>
          <w:sz w:val="22"/>
          <w:szCs w:val="22"/>
          <w:lang w:eastAsia="en-US"/>
        </w:rPr>
        <w:t>III.</w:t>
      </w:r>
    </w:p>
    <w:p w:rsidR="00E316EF" w:rsidRDefault="00EC37C7">
      <w:pPr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Službenik za informiranje poduzima sve radnje i mjere potrebne radi zakonitog provođenja Zakona pristup informacijama. U svom radu određene ov</w:t>
      </w:r>
      <w:r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  <w:t>lasti prenosi na druge službe radi urednog vođenja i ažuriranja upisnika Zahtjeva za pristup informacijama, te postupaka koji neposredne proizlaze iz primjene istih, za što je neposredno odgovoran ravnatelj škole.</w:t>
      </w:r>
    </w:p>
    <w:p w:rsidR="00E316EF" w:rsidRDefault="00E316EF">
      <w:pPr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</w:p>
    <w:p w:rsidR="00E316EF" w:rsidRDefault="00E316EF">
      <w:pPr>
        <w:jc w:val="both"/>
        <w:rPr>
          <w:rFonts w:ascii="WeblySleek UI Semilight" w:eastAsiaTheme="minorHAnsi" w:hAnsi="WeblySleek UI Semilight" w:cs="WeblySleek UI Semilight"/>
          <w:sz w:val="22"/>
          <w:szCs w:val="22"/>
          <w:lang w:eastAsia="en-US"/>
        </w:rPr>
      </w:pPr>
    </w:p>
    <w:p w:rsidR="00E316EF" w:rsidRDefault="00E316EF">
      <w:pPr>
        <w:jc w:val="both"/>
        <w:rPr>
          <w:rFonts w:ascii="WeblySleek UI Semilight" w:hAnsi="WeblySleek UI Semilight" w:cs="WeblySleek UI Semilight"/>
          <w:sz w:val="22"/>
          <w:szCs w:val="22"/>
        </w:rPr>
      </w:pPr>
    </w:p>
    <w:p w:rsidR="00E316EF" w:rsidRDefault="00EC37C7">
      <w:pPr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                                       </w:t>
      </w:r>
      <w:r>
        <w:rPr>
          <w:rFonts w:ascii="WeblySleek UI Semilight" w:hAnsi="WeblySleek UI Semilight" w:cs="WeblySleek UI Semilight"/>
          <w:sz w:val="22"/>
          <w:szCs w:val="22"/>
        </w:rPr>
        <w:t xml:space="preserve">                                                                  RAVNATELJ</w:t>
      </w:r>
    </w:p>
    <w:p w:rsidR="00E316EF" w:rsidRDefault="00EC37C7">
      <w:pPr>
        <w:jc w:val="both"/>
        <w:rPr>
          <w:rFonts w:ascii="WeblySleek UI Semilight" w:hAnsi="WeblySleek UI Semilight" w:cs="WeblySleek UI Semilight"/>
          <w:sz w:val="22"/>
          <w:szCs w:val="22"/>
        </w:rPr>
      </w:pPr>
      <w:r>
        <w:rPr>
          <w:rFonts w:ascii="WeblySleek UI Semilight" w:hAnsi="WeblySleek UI Semilight" w:cs="WeblySleek UI Semilight"/>
          <w:sz w:val="22"/>
          <w:szCs w:val="22"/>
        </w:rPr>
        <w:t xml:space="preserve">                                                                                                   Davor Jelavić Šako, prof.</w:t>
      </w:r>
    </w:p>
    <w:p w:rsidR="00E316EF" w:rsidRDefault="00EC37C7">
      <w:pPr>
        <w:rPr>
          <w:rFonts w:ascii="WeblySleek UI Semilight" w:hAnsi="WeblySleek UI Semilight" w:cs="WeblySleek UI Semilight"/>
          <w:sz w:val="20"/>
          <w:szCs w:val="20"/>
        </w:rPr>
      </w:pPr>
      <w:r>
        <w:rPr>
          <w:rFonts w:ascii="WeblySleek UI Semilight" w:hAnsi="WeblySleek UI Semilight" w:cs="WeblySleek UI Semilight"/>
          <w:sz w:val="20"/>
          <w:szCs w:val="20"/>
        </w:rPr>
        <w:t>Dostaviti:</w:t>
      </w:r>
    </w:p>
    <w:p w:rsidR="00E316EF" w:rsidRDefault="00EC37C7">
      <w:pPr>
        <w:rPr>
          <w:rFonts w:ascii="WeblySleek UI Semilight" w:hAnsi="WeblySleek UI Semilight" w:cs="WeblySleek UI Semilight"/>
          <w:sz w:val="20"/>
          <w:szCs w:val="20"/>
        </w:rPr>
      </w:pPr>
      <w:r>
        <w:rPr>
          <w:rFonts w:ascii="WeblySleek UI Semilight" w:hAnsi="WeblySleek UI Semilight" w:cs="WeblySleek UI Semilight"/>
          <w:sz w:val="20"/>
          <w:szCs w:val="20"/>
        </w:rPr>
        <w:t>- Marjeta Marović</w:t>
      </w:r>
    </w:p>
    <w:p w:rsidR="00E316EF" w:rsidRDefault="00EC37C7">
      <w:pPr>
        <w:rPr>
          <w:rFonts w:ascii="WeblySleek UI Semilight" w:hAnsi="WeblySleek UI Semilight" w:cs="WeblySleek UI Semilight"/>
          <w:sz w:val="20"/>
          <w:szCs w:val="20"/>
        </w:rPr>
      </w:pPr>
      <w:r>
        <w:rPr>
          <w:rFonts w:ascii="WeblySleek UI Semilight" w:hAnsi="WeblySleek UI Semilight" w:cs="WeblySleek UI Semilight"/>
          <w:sz w:val="20"/>
          <w:szCs w:val="20"/>
        </w:rPr>
        <w:t>- Povjerenik za informiran</w:t>
      </w:r>
      <w:r>
        <w:rPr>
          <w:rFonts w:ascii="WeblySleek UI Semilight" w:hAnsi="WeblySleek UI Semilight" w:cs="WeblySleek UI Semilight"/>
          <w:sz w:val="20"/>
          <w:szCs w:val="20"/>
        </w:rPr>
        <w:t>je – Registar službenika za informiranje</w:t>
      </w:r>
    </w:p>
    <w:p w:rsidR="00E316EF" w:rsidRDefault="00EC37C7">
      <w:pPr>
        <w:rPr>
          <w:rFonts w:ascii="WeblySleek UI Semilight" w:hAnsi="WeblySleek UI Semilight" w:cs="WeblySleek UI Semilight"/>
          <w:sz w:val="20"/>
          <w:szCs w:val="20"/>
        </w:rPr>
      </w:pPr>
      <w:r>
        <w:rPr>
          <w:rFonts w:ascii="WeblySleek UI Semilight" w:hAnsi="WeblySleek UI Semilight" w:cs="WeblySleek UI Semilight"/>
          <w:sz w:val="20"/>
          <w:szCs w:val="20"/>
        </w:rPr>
        <w:t>- Pismohrana</w:t>
      </w:r>
    </w:p>
    <w:sectPr w:rsidR="00E3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lySleek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lySleek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3D57"/>
    <w:multiLevelType w:val="multilevel"/>
    <w:tmpl w:val="30AE08C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6EF"/>
    <w:rsid w:val="00E316EF"/>
    <w:rsid w:val="00E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WeblySleek UI Semilight" w:eastAsiaTheme="minorHAnsi" w:hAnsi="WeblySleek UI Semilight" w:cs="WeblySleek UI Semilight"/>
        <w:sz w:val="16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2026-06-12T11:29:00Z</dcterms:created>
  <dcterms:modified xsi:type="dcterms:W3CDTF">2026-06-12T11:29:00Z</dcterms:modified>
</cp:coreProperties>
</file>